
<file path=[Content_Types].xml><?xml version="1.0" encoding="utf-8"?>
<Types xmlns="http://schemas.openxmlformats.org/package/2006/content-types">
  <Default Extension="png" ContentType="image/pn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1" w:lineRule="atLeast"/>
      </w:pPr>
      <w:r>
        <w:pict>
          <v:shapetype id="st_0_0" coordsize="21600,21600" o:spt="202" path="m,l,21600r21600,l21600,xe"/>
          <v:shape id="sh_0_0" type="#st_0_0" stroked="f" filled="f" style="position:absolute;margin-left:3.150000pt;margin-top:0.000000pt;width:370.150000pt;height:29.000000pt;z-index:251660288;mso-position-horizontal-relative:margin;mso-position-vertical-relative:margin;mso-width-relative:margin;mso-height-relative:margin">
            <v:fill opacity="0"/>
            <v:textbox style="mso-next-textbox:#_x0000_s1026;mso-fit-shape-to-text:t" inset="0,0,2.5pt,0">
              <w:txbxContent>
                <w:p>
                  <w:pPr>
                    <w:pStyle w:val="Style"/>
                    <w:spacing w:before="0" w:after="0" w:line="307" w:lineRule="atLeast"/>
                    <w:ind w:left="5894" w:firstLine="0"/>
                    <w:jc w:val="right"/>
                    <w:textAlignment w:val="baseline"/>
                  </w:pPr>
                  <w:r>
                    <w:rPr>
                      <w:rFonts w:ascii="Arial" w:eastAsia="Arial" w:hAnsi="Arial" w:cs="Arial"/>
                      <w:sz w:val="13"/>
                      <w:szCs w:val="13"/>
                      <w:lang w:val="zh"/>
                    </w:rPr>
                    <w:t xml:space="preserve">PRP100-D-1_02 </w:t>
                  </w:r>
                  <w:r>
                    <w:rPr>
                      <w:rFonts w:ascii="PMingLiU" w:eastAsia="PMingLiU" w:hAnsi="PMingLiU" w:cs="PMingLiU"/>
                      <w:sz w:val="13"/>
                      <w:szCs w:val="13"/>
                      <w:lang w:val="zh"/>
                    </w:rPr>
                    <w:t xml:space="preserve">衛臺藁製字第057107褫</w:t>
                  </w:r>
                </w:p>
              </w:txbxContent>
            </v:textbox>
          </v:shape>
        </w:pict>
      </w:r>
    </w:p>
    <w:p>
      <w:pPr>
        <w:spacing w:line="1" w:lineRule="atLeast"/>
      </w:pPr>
      <w:r>
        <w:pict>
          <v:shapetype id="st_0_1" coordsize="21600,21600" o:spt="202" path="m,l,21600r21600,l21600,xe"/>
          <v:shape id="sh_0_1" type="#st_0_1" stroked="f" filled="f" style="position:absolute;margin-left:3.150000pt;margin-top:28.800000pt;width:370.150000pt;height:47.200000pt;z-index:251660288;mso-position-horizontal-relative:margin;mso-position-vertical-relative:margin;mso-width-relative:margin;mso-height-relative:margin">
            <v:fill opacity="0"/>
            <v:textbox style="mso-next-textbox:#_x0000_s1026;mso-fit-shape-to-text:t" inset="0,0,2.5pt,0">
              <w:txbxContent>
                <w:p>
                  <w:pPr>
                    <w:pStyle w:val="Style"/>
                    <w:spacing w:before="0" w:after="0" w:line="417" w:lineRule="atLeast"/>
                    <w:ind w:left="1512" w:firstLine="0"/>
                    <w:textAlignment w:val="baseline"/>
                  </w:pPr>
                  <w:r>
                    <w:rPr>
                      <w:rFonts w:ascii="PMingLiU" w:eastAsia="PMingLiU" w:hAnsi="PMingLiU" w:cs="PMingLiU"/>
                      <w:sz w:val="25"/>
                      <w:szCs w:val="25"/>
                      <w:lang w:val="zh"/>
                    </w:rPr>
                    <w:t xml:space="preserve">"培力II婦安蒙軟膠囊100毫克</w:t>
                  </w:r>
                </w:p>
                <w:p>
                  <w:pPr>
                    <w:pStyle w:val="Style"/>
                    <w:spacing w:before="0" w:after="0" w:line="388" w:lineRule="atLeast"/>
                    <w:ind w:left="1598" w:firstLine="0"/>
                    <w:textAlignment w:val="baseline"/>
                  </w:pPr>
                  <w:r>
                    <w:rPr>
                      <w:rFonts w:ascii="Arial" w:eastAsia="Arial" w:hAnsi="Arial" w:cs="Arial"/>
                      <w:sz w:val="24"/>
                      <w:szCs w:val="24"/>
                      <w:lang w:val="zh"/>
                    </w:rPr>
                    <w:t xml:space="preserve">Promone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  <w:lang w:val="zh"/>
                    </w:rPr>
                    <w:t xml:space="preserve">100mg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  <w:lang w:val="zh"/>
                    </w:rPr>
                    <w:t xml:space="preserve">soft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  <w:lang w:val="zh"/>
                    </w:rPr>
                    <w:t xml:space="preserve">capsules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  <w:lang w:val="zh"/>
                    </w:rPr>
                    <w:t xml:space="preserve">"P.L."</w:t>
                  </w:r>
                </w:p>
              </w:txbxContent>
            </v:textbox>
          </v:shape>
        </w:pict>
      </w:r>
    </w:p>
    <w:p>
      <w:pPr>
        <w:spacing w:line="1" w:lineRule="atLeast"/>
      </w:pPr>
      <w:r>
        <w:pict>
          <v:shapetype id="st_0_2" coordsize="21600,21600" o:spt="202" path="m,l,21600r21600,l21600,xe"/>
          <v:shape id="sh_0_2" type="#st_0_2" stroked="f" filled="f" style="position:absolute;margin-left:0.000000pt;margin-top:109.700000pt;width:373.750000pt;height:421.850000pt;z-index:251660288;mso-position-horizontal-relative:margin;mso-position-vertical-relative:margin;mso-width-relative:margin;mso-height-relative:margin">
            <v:fill opacity="0"/>
            <v:textbox style="mso-next-textbox:#_x0000_s1026;mso-fit-shape-to-text:t" inset="0,0,2.5pt,0">
              <w:txbxContent>
                <w:p>
                  <w:pPr>
                    <w:pStyle w:val="Style"/>
                    <w:spacing w:before="0" w:after="0" w:line="158" w:lineRule="atLeast"/>
                    <w:ind w:left="62" w:firstLine="0"/>
                    <w:textAlignment w:val="baseline"/>
                  </w:pPr>
                  <w:r>
                    <w:rPr>
                      <w:rFonts w:ascii="PMingLiU" w:eastAsia="PMingLiU" w:hAnsi="PMingLiU" w:cs="PMingLiU"/>
                      <w:sz w:val="13"/>
                      <w:szCs w:val="13"/>
                      <w:lang w:val="zh"/>
                    </w:rPr>
                    <w:t xml:space="preserve">（主成分及含量） </w:t>
                  </w:r>
                  <w:r>
                    <w:rPr>
                      <w:rFonts w:ascii="Arial" w:eastAsia="Arial" w:hAnsi="Arial" w:cs="Arial"/>
                      <w:sz w:val="13"/>
                      <w:szCs w:val="13"/>
                      <w:lang w:val="zh"/>
                    </w:rPr>
                    <w:t xml:space="preserve">Micronised </w:t>
                  </w:r>
                  <w:r>
                    <w:rPr>
                      <w:rFonts w:ascii="Arial" w:eastAsia="Arial" w:hAnsi="Arial" w:cs="Arial"/>
                      <w:sz w:val="13"/>
                      <w:szCs w:val="13"/>
                      <w:lang w:val="zh"/>
                    </w:rPr>
                    <w:t xml:space="preserve">Progesterone </w:t>
                  </w:r>
                  <w:r>
                    <w:rPr>
                      <w:rFonts w:ascii="PMingLiU" w:eastAsia="PMingLiU" w:hAnsi="PMingLiU" w:cs="PMingLiU"/>
                      <w:sz w:val="13"/>
                      <w:szCs w:val="13"/>
                      <w:lang w:val="zh"/>
                    </w:rPr>
                    <w:t xml:space="preserve">100mg微粒化黃體素100毫克</w:t>
                  </w:r>
                </w:p>
                <w:p>
                  <w:pPr>
                    <w:pStyle w:val="Style"/>
                    <w:tabs>
                      <w:tab w:val="left" w:leader="none" w:pos="1"/>
                      <w:tab w:val="left" w:leader="none" w:pos="2601"/>
                      <w:tab w:val="left" w:leader="none" w:pos="2956"/>
                    </w:tabs>
                    <w:spacing w:before="0" w:after="0" w:line="163" w:lineRule="atLeast"/>
                    <w:ind w:left="0" w:hanging="0"/>
                    <w:textAlignment w:val="baseline"/>
                  </w:pPr>
                  <w:r>
                    <w:rPr>
                      <w:w w:val="50"/>
                      <w:sz w:val="19"/>
                      <w:szCs w:val="19"/>
                      <w:lang w:val="zh"/>
                    </w:rPr>
                    <w:tab/>
                    <w:t xml:space="preserve">＂図形劑I</w:t>
                  </w:r>
                  <w:r>
                    <w:rPr>
                      <w:w w:val="50"/>
                      <w:sz w:val="19"/>
                      <w:szCs w:val="19"/>
                      <w:lang w:val="zh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13"/>
                      <w:szCs w:val="13"/>
                      <w:lang w:val="zh"/>
                    </w:rPr>
                    <w:t xml:space="preserve">Lecithin,</w:t>
                  </w:r>
                  <w:r>
                    <w:rPr>
                      <w:rFonts w:ascii="Arial" w:eastAsia="Arial" w:hAnsi="Arial" w:cs="Arial"/>
                      <w:sz w:val="13"/>
                      <w:szCs w:val="13"/>
                      <w:lang w:val="zh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13"/>
                      <w:szCs w:val="13"/>
                      <w:lang w:val="zh"/>
                    </w:rPr>
                    <w:t xml:space="preserve">Peanut</w:t>
                  </w:r>
                  <w:r>
                    <w:rPr>
                      <w:rFonts w:ascii="Arial" w:eastAsia="Arial" w:hAnsi="Arial" w:cs="Arial"/>
                      <w:sz w:val="13"/>
                      <w:szCs w:val="13"/>
                      <w:lang w:val="zh"/>
                    </w:rPr>
                    <w:t xml:space="preserve"> </w:t>
                  </w:r>
                  <w:r>
                    <w:rPr>
                      <w:rFonts w:ascii="PMingLiU" w:eastAsia="PMingLiU" w:hAnsi="PMingLiU" w:cs="PMingLiU"/>
                      <w:w w:val="50"/>
                      <w:sz w:val="20"/>
                      <w:szCs w:val="20"/>
                      <w:lang w:val="zh"/>
                    </w:rPr>
                    <w:t xml:space="preserve">Oil一一一</w:t>
                  </w:r>
                  <w:r>
                    <w:rPr>
                      <w:rFonts w:ascii="PMingLiU" w:eastAsia="PMingLiU" w:hAnsi="PMingLiU" w:cs="PMingLiU"/>
                      <w:w w:val="50"/>
                      <w:sz w:val="20"/>
                      <w:szCs w:val="20"/>
                      <w:lang w:val="zh"/>
                    </w:rPr>
                    <w:t xml:space="preserve"> </w:t>
                  </w:r>
                  <w:r>
                    <w:rPr>
                      <w:rFonts w:ascii="PMingLiU" w:eastAsia="PMingLiU" w:hAnsi="PMingLiU" w:cs="PMingLiU"/>
                      <w:w w:val="50"/>
                      <w:sz w:val="20"/>
                      <w:szCs w:val="20"/>
                      <w:lang w:val="zh"/>
                    </w:rPr>
                    <w:tab/>
                    <w:t xml:space="preserve">'</w:t>
                  </w:r>
                  <w:r>
                    <w:rPr>
                      <w:rFonts w:ascii="PMingLiU" w:eastAsia="PMingLiU" w:hAnsi="PMingLiU" w:cs="PMingLiU"/>
                      <w:w w:val="50"/>
                      <w:sz w:val="20"/>
                      <w:szCs w:val="20"/>
                      <w:lang w:val="zh"/>
                    </w:rPr>
                    <w:t xml:space="preserve"> </w:t>
                  </w:r>
                  <w:r>
                    <w:rPr>
                      <w:rFonts w:ascii="PMingLiU" w:eastAsia="PMingLiU" w:hAnsi="PMingLiU" w:cs="PMingLiU"/>
                      <w:w w:val="50"/>
                      <w:sz w:val="20"/>
                      <w:szCs w:val="20"/>
                      <w:lang w:val="zh"/>
                    </w:rPr>
                    <w:tab/>
                    <w:t xml:space="preserve">•.</w:t>
                  </w:r>
                  <w:r>
                    <w:rPr>
                      <w:rFonts w:ascii="PMingLiU" w:eastAsia="PMingLiU" w:hAnsi="PMingLiU" w:cs="PMingLiU"/>
                      <w:w w:val="50"/>
                      <w:sz w:val="20"/>
                      <w:szCs w:val="20"/>
                      <w:lang w:val="zh"/>
                    </w:rPr>
                    <w:t xml:space="preserve"> </w:t>
                  </w:r>
                </w:p>
                <w:p>
                  <w:pPr>
                    <w:pStyle w:val="Style"/>
                    <w:spacing w:before="0" w:after="0" w:line="168" w:lineRule="atLeast"/>
                    <w:ind w:left="840" w:firstLine="0"/>
                    <w:textAlignment w:val="baseline"/>
                  </w:pPr>
                  <w:r>
                    <w:rPr>
                      <w:rFonts w:ascii="PMingLiU" w:eastAsia="PMingLiU" w:hAnsi="PMingLiU" w:cs="PMingLiU"/>
                      <w:sz w:val="13"/>
                      <w:szCs w:val="13"/>
                      <w:lang w:val="zh"/>
                    </w:rPr>
                    <w:t xml:space="preserve">明膠皮： </w:t>
                  </w:r>
                  <w:r>
                    <w:rPr>
                      <w:rFonts w:ascii="Arial" w:eastAsia="Arial" w:hAnsi="Arial" w:cs="Arial"/>
                      <w:sz w:val="13"/>
                      <w:szCs w:val="13"/>
                      <w:lang w:val="zh"/>
                    </w:rPr>
                    <w:t xml:space="preserve">Gelatin, </w:t>
                  </w:r>
                  <w:r>
                    <w:rPr>
                      <w:rFonts w:ascii="Arial" w:eastAsia="Arial" w:hAnsi="Arial" w:cs="Arial"/>
                      <w:sz w:val="13"/>
                      <w:szCs w:val="13"/>
                      <w:lang w:val="zh"/>
                    </w:rPr>
                    <w:t xml:space="preserve">Glycerin, </w:t>
                  </w:r>
                  <w:r>
                    <w:rPr>
                      <w:rFonts w:ascii="Arial" w:eastAsia="Arial" w:hAnsi="Arial" w:cs="Arial"/>
                      <w:sz w:val="13"/>
                      <w:szCs w:val="13"/>
                      <w:lang w:val="zh"/>
                    </w:rPr>
                    <w:t xml:space="preserve">Purified </w:t>
                  </w:r>
                  <w:r>
                    <w:rPr>
                      <w:rFonts w:ascii="Arial" w:eastAsia="Arial" w:hAnsi="Arial" w:cs="Arial"/>
                      <w:sz w:val="13"/>
                      <w:szCs w:val="13"/>
                      <w:lang w:val="zh"/>
                    </w:rPr>
                    <w:t xml:space="preserve">Water, </w:t>
                  </w:r>
                  <w:r>
                    <w:rPr>
                      <w:rFonts w:ascii="Arial" w:eastAsia="Arial" w:hAnsi="Arial" w:cs="Arial"/>
                      <w:sz w:val="13"/>
                      <w:szCs w:val="13"/>
                      <w:lang w:val="zh"/>
                    </w:rPr>
                    <w:t xml:space="preserve">Titanium </w:t>
                  </w:r>
                  <w:r>
                    <w:rPr>
                      <w:rFonts w:ascii="Arial" w:eastAsia="Arial" w:hAnsi="Arial" w:cs="Arial"/>
                      <w:sz w:val="13"/>
                      <w:szCs w:val="13"/>
                      <w:lang w:val="zh"/>
                    </w:rPr>
                    <w:t xml:space="preserve">Dioxide, </w:t>
                  </w:r>
                  <w:r>
                    <w:rPr>
                      <w:rFonts w:ascii="Arial" w:eastAsia="Arial" w:hAnsi="Arial" w:cs="Arial"/>
                      <w:sz w:val="13"/>
                      <w:szCs w:val="13"/>
                      <w:lang w:val="zh"/>
                    </w:rPr>
                    <w:t xml:space="preserve">Tartrazine</w:t>
                  </w:r>
                </w:p>
                <w:p>
                  <w:pPr>
                    <w:pStyle w:val="Style"/>
                    <w:tabs>
                      <w:tab w:val="left" w:leader="none" w:pos="57"/>
                      <w:tab w:val="left" w:leader="none" w:pos="552"/>
                    </w:tabs>
                    <w:spacing w:before="0" w:after="0" w:line="163" w:lineRule="atLeast"/>
                    <w:ind w:left="0" w:hanging="0"/>
                    <w:textAlignment w:val="baseline"/>
                  </w:pPr>
                  <w:r>
                    <w:rPr>
                      <w:rFonts w:ascii="PMingLiU" w:eastAsia="PMingLiU" w:hAnsi="PMingLiU" w:cs="PMingLiU"/>
                      <w:sz w:val="13"/>
                      <w:szCs w:val="13"/>
                      <w:lang w:val="zh"/>
                    </w:rPr>
                    <w:tab/>
                    <w:t xml:space="preserve">［劑</w:t>
                  </w:r>
                  <w:r>
                    <w:rPr>
                      <w:rFonts w:ascii="PMingLiU" w:eastAsia="PMingLiU" w:hAnsi="PMingLiU" w:cs="PMingLiU"/>
                      <w:sz w:val="13"/>
                      <w:szCs w:val="13"/>
                      <w:lang w:val="zh"/>
                    </w:rPr>
                    <w:t xml:space="preserve"> </w:t>
                  </w:r>
                  <w:r>
                    <w:rPr>
                      <w:rFonts w:ascii="PMingLiU" w:eastAsia="PMingLiU" w:hAnsi="PMingLiU" w:cs="PMingLiU"/>
                      <w:sz w:val="13"/>
                      <w:szCs w:val="13"/>
                      <w:lang w:val="zh"/>
                    </w:rPr>
                    <w:tab/>
                    <w:t xml:space="preserve">型1軟膠蕢，口暦或陰道給藥途徑·</w:t>
                  </w:r>
                  <w:r>
                    <w:rPr>
                      <w:rFonts w:ascii="PMingLiU" w:eastAsia="PMingLiU" w:hAnsi="PMingLiU" w:cs="PMingLiU"/>
                      <w:sz w:val="13"/>
                      <w:szCs w:val="13"/>
                      <w:lang w:val="zh"/>
                    </w:rPr>
                    <w:t xml:space="preserve"> </w:t>
                  </w:r>
                </w:p>
                <w:p>
                  <w:pPr>
                    <w:pStyle w:val="Style"/>
                    <w:spacing w:before="0" w:after="0" w:line="177" w:lineRule="atLeast"/>
                    <w:ind w:left="96" w:firstLine="0"/>
                    <w:textAlignment w:val="baseline"/>
                  </w:pPr>
                  <w:r>
                    <w:rPr>
                      <w:w w:val="56"/>
                      <w:sz w:val="20"/>
                      <w:szCs w:val="20"/>
                      <w:lang w:val="zh"/>
                    </w:rPr>
                    <w:t xml:space="preserve">（適應症I</w:t>
                  </w:r>
                </w:p>
                <w:p>
                  <w:pPr>
                    <w:pStyle w:val="Style"/>
                    <w:numPr>
                      <w:ilvl w:val="0"/>
                      <w:numId w:val="1"/>
                    </w:numPr>
                    <w:spacing w:before="0" w:after="0" w:line="163" w:lineRule="atLeast"/>
                    <w:ind w:left="350" w:right="0" w:hanging="163"/>
                    <w:textAlignment w:val="baseline"/>
                  </w:pPr>
                  <w:r>
                    <w:rPr>
                      <w:rFonts w:ascii="PMingLiU" w:eastAsia="PMingLiU" w:hAnsi="PMingLiU" w:cs="PMingLiU"/>
                      <w:sz w:val="13"/>
                      <w:szCs w:val="13"/>
                      <w:lang w:val="zh"/>
                    </w:rPr>
                    <w:t xml:space="preserve">口服途徑給藥</w:t>
                  </w:r>
                </w:p>
                <w:p>
                  <w:pPr>
                    <w:pStyle w:val="Style"/>
                    <w:spacing w:before="0" w:after="0" w:line="172" w:lineRule="atLeast"/>
                    <w:ind w:left="451" w:hanging="451"/>
                    <w:textAlignment w:val="baseline"/>
                  </w:pPr>
                  <w:r>
                    <w:rPr>
                      <w:rFonts w:ascii="PMingLiU" w:eastAsia="PMingLiU" w:hAnsi="PMingLiU" w:cs="PMingLiU"/>
                      <w:sz w:val="13"/>
                      <w:szCs w:val="13"/>
                      <w:lang w:val="zh"/>
                    </w:rPr>
                    <w:t xml:space="preserve">a婦科：黃體素不足造成失調（主要為經前症候群，因異常排卵或停止排Jja引起的螳期不規則）、良性乳腰病丶停錏前 </w:t>
                  </w:r>
                  <w:r>
                    <w:rPr>
                      <w:rFonts w:ascii="PMingLiU" w:eastAsia="PMingLiU" w:hAnsi="PMingLiU" w:cs="PMingLiU"/>
                      <w:sz w:val="13"/>
                      <w:szCs w:val="13"/>
                      <w:lang w:val="zh"/>
                    </w:rPr>
                    <w:t xml:space="preserve">期症狀、更年期治療（雌激素療法的輔助藁品）、黃體期障礙造成不孕·</w:t>
                  </w:r>
                </w:p>
                <w:p>
                  <w:pPr>
                    <w:pStyle w:val="Style"/>
                    <w:numPr>
                      <w:ilvl w:val="0"/>
                      <w:numId w:val="2"/>
                    </w:numPr>
                    <w:spacing w:before="0" w:after="0" w:line="168" w:lineRule="atLeast"/>
                    <w:ind w:left="460" w:right="0" w:hanging="115"/>
                    <w:textAlignment w:val="baseline"/>
                  </w:pPr>
                  <w:r>
                    <w:rPr>
                      <w:rFonts w:ascii="PMingLiU" w:eastAsia="PMingLiU" w:hAnsi="PMingLiU" w:cs="PMingLiU"/>
                      <w:sz w:val="13"/>
                      <w:szCs w:val="13"/>
                      <w:lang w:val="zh"/>
                    </w:rPr>
                    <w:t xml:space="preserve">產科：預防黃體期障礙造成習慣性流產·</w:t>
                  </w:r>
                </w:p>
                <w:p>
                  <w:pPr>
                    <w:pStyle w:val="Style"/>
                    <w:numPr>
                      <w:ilvl w:val="0"/>
                      <w:numId w:val="3"/>
                    </w:numPr>
                    <w:spacing w:before="0" w:after="0" w:line="163" w:lineRule="atLeast"/>
                    <w:ind w:left="350" w:right="0" w:hanging="168"/>
                    <w:textAlignment w:val="baseline"/>
                  </w:pPr>
                  <w:r>
                    <w:rPr>
                      <w:rFonts w:ascii="PMingLiU" w:eastAsia="PMingLiU" w:hAnsi="PMingLiU" w:cs="PMingLiU"/>
                      <w:sz w:val="13"/>
                      <w:szCs w:val="13"/>
                      <w:lang w:val="zh"/>
                    </w:rPr>
                    <w:t xml:space="preserve">陰道途徑給藁</w:t>
                  </w:r>
                </w:p>
                <w:p>
                  <w:pPr>
                    <w:pStyle w:val="Style"/>
                    <w:spacing w:before="0" w:after="0" w:line="168" w:lineRule="atLeast"/>
                    <w:ind w:left="292" w:firstLine="0"/>
                    <w:textAlignment w:val="baseline"/>
                  </w:pPr>
                  <w:r>
                    <w:rPr>
                      <w:rFonts w:ascii="PMingLiU" w:eastAsia="PMingLiU" w:hAnsi="PMingLiU" w:cs="PMingLiU"/>
                      <w:sz w:val="13"/>
                      <w:szCs w:val="13"/>
                      <w:lang w:val="zh"/>
                    </w:rPr>
                    <w:t xml:space="preserve">因黃體期障礙引起初級或次級不孕（主要用於排卵困醃·做為人工受孕或卵子捐贖時的黃體期補充）、預防黃體期躊礙 </w:t>
                  </w:r>
                  <w:r>
                    <w:rPr>
                      <w:rFonts w:ascii="PMingLiU" w:eastAsia="PMingLiU" w:hAnsi="PMingLiU" w:cs="PMingLiU"/>
                      <w:sz w:val="13"/>
                      <w:szCs w:val="13"/>
                      <w:lang w:val="zh"/>
                    </w:rPr>
                    <w:t xml:space="preserve">造成習慣性流產。</w:t>
                  </w:r>
                </w:p>
                <w:p>
                  <w:pPr>
                    <w:pStyle w:val="Style"/>
                    <w:spacing w:before="0" w:after="0" w:line="177" w:lineRule="atLeast"/>
                    <w:ind w:left="96" w:firstLine="0"/>
                    <w:textAlignment w:val="baseline"/>
                  </w:pPr>
                  <w:r>
                    <w:rPr>
                      <w:rFonts w:ascii="PMingLiU" w:eastAsia="PMingLiU" w:hAnsi="PMingLiU" w:cs="PMingLiU"/>
                      <w:sz w:val="13"/>
                      <w:szCs w:val="13"/>
                      <w:lang w:val="zh"/>
                    </w:rPr>
                    <w:t xml:space="preserve">（用法用量1本葉需由薑師虞方使用</w:t>
                  </w:r>
                </w:p>
                <w:p>
                  <w:pPr>
                    <w:pStyle w:val="Style"/>
                    <w:numPr>
                      <w:ilvl w:val="0"/>
                      <w:numId w:val="4"/>
                    </w:numPr>
                    <w:spacing w:before="0" w:after="0" w:line="163" w:lineRule="atLeast"/>
                    <w:ind w:left="350" w:right="0" w:hanging="163"/>
                    <w:textAlignment w:val="baseline"/>
                  </w:pPr>
                  <w:r>
                    <w:rPr>
                      <w:rFonts w:ascii="PMingLiU" w:eastAsia="PMingLiU" w:hAnsi="PMingLiU" w:cs="PMingLiU"/>
                      <w:sz w:val="13"/>
                      <w:szCs w:val="13"/>
                      <w:lang w:val="zh"/>
                    </w:rPr>
                    <w:t xml:space="preserve">口服途徑給藁</w:t>
                  </w:r>
                </w:p>
                <w:p>
                  <w:pPr>
                    <w:pStyle w:val="Style"/>
                    <w:spacing w:before="0" w:after="0" w:line="168" w:lineRule="atLeast"/>
                    <w:ind w:left="292" w:firstLine="0"/>
                    <w:textAlignment w:val="baseline"/>
                  </w:pPr>
                  <w:r>
                    <w:rPr>
                      <w:rFonts w:ascii="Arial" w:eastAsia="Arial" w:hAnsi="Arial" w:cs="Arial"/>
                      <w:sz w:val="13"/>
                      <w:szCs w:val="13"/>
                      <w:lang w:val="zh"/>
                    </w:rPr>
                    <w:t xml:space="preserve">＿日標準用量為200mg到300mg'分1到2次臟用，例如夜晚就寢前llli用200mg• </w:t>
                  </w:r>
                  <w:r>
                    <w:rPr>
                      <w:rFonts w:ascii="Arial" w:eastAsia="Arial" w:hAnsi="Arial" w:cs="Arial"/>
                      <w:sz w:val="13"/>
                      <w:szCs w:val="13"/>
                      <w:lang w:val="zh"/>
                    </w:rPr>
                    <w:t xml:space="preserve">必票時可在早晨服用100mg </w:t>
                  </w:r>
                  <w:r>
                    <w:rPr>
                      <w:rFonts w:ascii="Arial" w:eastAsia="Arial" w:hAnsi="Arial" w:cs="Arial"/>
                      <w:w w:val="140"/>
                      <w:sz w:val="6"/>
                      <w:szCs w:val="6"/>
                      <w:lang w:val="zh"/>
                    </w:rPr>
                    <w:t xml:space="preserve">0</w:t>
                  </w:r>
                </w:p>
                <w:p>
                  <w:pPr>
                    <w:pStyle w:val="Style"/>
                    <w:numPr>
                      <w:ilvl w:val="0"/>
                      <w:numId w:val="5"/>
                    </w:numPr>
                    <w:spacing w:before="0" w:after="0" w:line="168" w:lineRule="atLeast"/>
                    <w:ind w:left="460" w:right="0" w:hanging="91"/>
                    <w:textAlignment w:val="baseline"/>
                  </w:pPr>
                  <w:r>
                    <w:rPr>
                      <w:rFonts w:ascii="PMingLiU" w:eastAsia="PMingLiU" w:hAnsi="PMingLiU" w:cs="PMingLiU"/>
                      <w:sz w:val="13"/>
                      <w:szCs w:val="13"/>
                      <w:lang w:val="zh"/>
                    </w:rPr>
                    <w:t xml:space="preserve">黃體素不足（總前症候群、經期不規則、停趕期前、良性乳臉病），每個生理循環週期至少使用黃體素10天，通常從 </w:t>
                  </w:r>
                  <w:r>
                    <w:rPr>
                      <w:rFonts w:ascii="Arial" w:eastAsia="Arial" w:hAnsi="Arial" w:cs="Arial"/>
                      <w:w w:val="171"/>
                      <w:sz w:val="5"/>
                      <w:szCs w:val="5"/>
                      <w:lang w:val="zh"/>
                    </w:rPr>
                    <w:t xml:space="preserve">第17天到第26天使用0</w:t>
                  </w:r>
                </w:p>
                <w:p>
                  <w:pPr>
                    <w:pStyle w:val="Style"/>
                    <w:numPr>
                      <w:ilvl w:val="0"/>
                      <w:numId w:val="5"/>
                    </w:numPr>
                    <w:spacing w:before="0" w:after="0" w:line="168" w:lineRule="atLeast"/>
                    <w:ind w:left="460" w:right="0" w:hanging="105"/>
                    <w:textAlignment w:val="baseline"/>
                  </w:pPr>
                  <w:r>
                    <w:rPr>
                      <w:rFonts w:ascii="PMingLiU" w:eastAsia="PMingLiU" w:hAnsi="PMingLiU" w:cs="PMingLiU"/>
                      <w:sz w:val="13"/>
                      <w:szCs w:val="13"/>
                      <w:lang w:val="zh"/>
                    </w:rPr>
                    <w:t xml:space="preserve">更年期療法：不建議單獨使用雌激素·可以在連續使用3週雌激素療法的聶後兩週併用，接下來這一週則停止所有</w:t>
                  </w:r>
                </w:p>
                <w:p>
                  <w:pPr>
                    <w:pStyle w:val="Style"/>
                    <w:tabs>
                      <w:tab w:val="left" w:leader="none" w:pos="446"/>
                      <w:tab w:val="left" w:leader="none" w:pos="3955"/>
                    </w:tabs>
                    <w:spacing w:before="0" w:after="0" w:line="177" w:lineRule="atLeast"/>
                    <w:ind w:left="0" w:hanging="0"/>
                    <w:textAlignment w:val="baseline"/>
                  </w:pPr>
                  <w:r>
                    <w:rPr>
                      <w:rFonts w:ascii="PMingLiU" w:eastAsia="PMingLiU" w:hAnsi="PMingLiU" w:cs="PMingLiU"/>
                      <w:sz w:val="13"/>
                      <w:szCs w:val="13"/>
                      <w:lang w:val="zh"/>
                    </w:rPr>
                    <w:tab/>
                    <w:t xml:space="preserve">用藁，而在停菓的這一週中可能會發生陰道出血。</w:t>
                  </w:r>
                  <w:r>
                    <w:rPr>
                      <w:rFonts w:ascii="PMingLiU" w:eastAsia="PMingLiU" w:hAnsi="PMingLiU" w:cs="PMingLiU"/>
                      <w:sz w:val="13"/>
                      <w:szCs w:val="13"/>
                      <w:lang w:val="zh"/>
                    </w:rPr>
                    <w:t xml:space="preserve"> </w:t>
                  </w:r>
                  <w:r>
                    <w:rPr>
                      <w:rFonts w:ascii="PMingLiU" w:eastAsia="PMingLiU" w:hAnsi="PMingLiU" w:cs="PMingLiU"/>
                      <w:w w:val="50"/>
                      <w:sz w:val="20"/>
                      <w:szCs w:val="20"/>
                      <w:lang w:val="zh"/>
                    </w:rPr>
                    <w:tab/>
                    <w:t xml:space="preserve">－</w:t>
                  </w:r>
                  <w:r>
                    <w:rPr>
                      <w:rFonts w:ascii="PMingLiU" w:eastAsia="PMingLiU" w:hAnsi="PMingLiU" w:cs="PMingLiU"/>
                      <w:w w:val="50"/>
                      <w:sz w:val="20"/>
                      <w:szCs w:val="20"/>
                      <w:lang w:val="zh"/>
                    </w:rPr>
                    <w:t xml:space="preserve"> </w:t>
                  </w:r>
                </w:p>
                <w:p>
                  <w:pPr>
                    <w:pStyle w:val="Style"/>
                    <w:spacing w:before="0" w:after="0" w:line="172" w:lineRule="atLeast"/>
                    <w:ind w:left="451" w:hanging="451"/>
                    <w:textAlignment w:val="baseline"/>
                  </w:pPr>
                  <w:r>
                    <w:rPr>
                      <w:rFonts w:ascii="Arial" w:eastAsia="Arial" w:hAnsi="Arial" w:cs="Arial"/>
                      <w:sz w:val="13"/>
                      <w:szCs w:val="13"/>
                      <w:lang w:val="zh"/>
                    </w:rPr>
                    <w:t xml:space="preserve">c可能發生早產：根攝急性時期的臨床診斷結果而定，每6到8小時吞服400mg, </w:t>
                  </w:r>
                  <w:r>
                    <w:rPr>
                      <w:rFonts w:ascii="Arial" w:eastAsia="Arial" w:hAnsi="Arial" w:cs="Arial"/>
                      <w:sz w:val="13"/>
                      <w:szCs w:val="13"/>
                      <w:lang w:val="zh"/>
                    </w:rPr>
                    <w:t xml:space="preserve">之後則採維持劑量（例如：一次200mg </w:t>
                  </w:r>
                  <w:r>
                    <w:rPr>
                      <w:rFonts w:ascii="PMingLiU" w:eastAsia="PMingLiU" w:hAnsi="PMingLiU" w:cs="PMingLiU"/>
                      <w:sz w:val="13"/>
                      <w:szCs w:val="13"/>
                      <w:lang w:val="zh"/>
                    </w:rPr>
                    <w:t xml:space="preserve">一天3次）直到懷孕三十六週止。</w:t>
                  </w:r>
                </w:p>
                <w:p>
                  <w:pPr>
                    <w:pStyle w:val="Style"/>
                    <w:numPr>
                      <w:ilvl w:val="0"/>
                      <w:numId w:val="6"/>
                    </w:numPr>
                    <w:spacing w:before="0" w:after="0" w:line="163" w:lineRule="atLeast"/>
                    <w:ind w:left="350" w:right="0" w:hanging="168"/>
                    <w:textAlignment w:val="baseline"/>
                  </w:pPr>
                  <w:r>
                    <w:rPr>
                      <w:rFonts w:ascii="PMingLiU" w:eastAsia="PMingLiU" w:hAnsi="PMingLiU" w:cs="PMingLiU"/>
                      <w:sz w:val="13"/>
                      <w:szCs w:val="13"/>
                      <w:lang w:val="zh"/>
                    </w:rPr>
                    <w:t xml:space="preserve">陰道途徑給藁</w:t>
                  </w:r>
                </w:p>
                <w:p>
                  <w:pPr>
                    <w:pStyle w:val="Style"/>
                    <w:spacing w:before="0" w:after="0" w:line="168" w:lineRule="atLeast"/>
                    <w:ind w:left="292" w:firstLine="0"/>
                    <w:textAlignment w:val="baseline"/>
                  </w:pPr>
                  <w:r>
                    <w:rPr>
                      <w:rFonts w:ascii="Arial" w:eastAsia="Arial" w:hAnsi="Arial" w:cs="Arial"/>
                      <w:sz w:val="13"/>
                      <w:szCs w:val="13"/>
                      <w:lang w:val="zh"/>
                    </w:rPr>
                    <w:t xml:space="preserve">毎顆軟膠蠹必須塞入陰道深盧，＿天普逼劑量為200mg• </w:t>
                  </w:r>
                  <w:r>
                    <w:rPr>
                      <w:rFonts w:ascii="PMingLiU" w:eastAsia="PMingLiU" w:hAnsi="PMingLiU" w:cs="PMingLiU"/>
                      <w:sz w:val="13"/>
                      <w:szCs w:val="13"/>
                      <w:lang w:val="zh"/>
                    </w:rPr>
                    <w:t xml:space="preserve">可使用絵藁器。早晚從陰這深入塞進一顆100mg膠．，可以 </w:t>
                  </w:r>
                  <w:r>
                    <w:rPr>
                      <w:rFonts w:ascii="PMingLiU" w:eastAsia="PMingLiU" w:hAnsi="PMingLiU" w:cs="PMingLiU"/>
                      <w:sz w:val="13"/>
                      <w:szCs w:val="13"/>
                      <w:lang w:val="zh"/>
                    </w:rPr>
                    <w:t xml:space="preserve">根擡個別病患的反應提高劑量。</w:t>
                  </w:r>
                </w:p>
                <w:p>
                  <w:pPr>
                    <w:pStyle w:val="Style"/>
                    <w:numPr>
                      <w:ilvl w:val="0"/>
                      <w:numId w:val="7"/>
                    </w:numPr>
                    <w:spacing w:before="0" w:after="0" w:line="168" w:lineRule="atLeast"/>
                    <w:ind w:left="460" w:right="0" w:hanging="115"/>
                    <w:textAlignment w:val="baseline"/>
                  </w:pPr>
                  <w:r>
                    <w:rPr>
                      <w:rFonts w:ascii="Arial" w:eastAsia="Arial" w:hAnsi="Arial" w:cs="Arial"/>
                      <w:sz w:val="13"/>
                      <w:szCs w:val="13"/>
                      <w:lang w:val="zh"/>
                    </w:rPr>
                    <w:t xml:space="preserve">黃體期黃體素分泌不足臆礙（排卵困攤丶經期不規則）：一天劑量為200mg• </w:t>
                  </w:r>
                  <w:r>
                    <w:rPr>
                      <w:rFonts w:ascii="PMingLiU" w:eastAsia="PMingLiU" w:hAnsi="PMingLiU" w:cs="PMingLiU"/>
                      <w:sz w:val="13"/>
                      <w:szCs w:val="13"/>
                      <w:lang w:val="zh"/>
                    </w:rPr>
                    <w:t xml:space="preserve">每個週期使用10天，通常從緩期第17天 </w:t>
                  </w:r>
                  <w:r>
                    <w:rPr>
                      <w:rFonts w:ascii="PMingLiU" w:eastAsia="PMingLiU" w:hAnsi="PMingLiU" w:cs="PMingLiU"/>
                      <w:sz w:val="13"/>
                      <w:szCs w:val="13"/>
                      <w:lang w:val="zh"/>
                    </w:rPr>
                    <w:t xml:space="preserve">開始到第26天使用。</w:t>
                  </w:r>
                </w:p>
                <w:p>
                  <w:pPr>
                    <w:pStyle w:val="Style"/>
                    <w:numPr>
                      <w:ilvl w:val="0"/>
                      <w:numId w:val="7"/>
                    </w:numPr>
                    <w:spacing w:before="0" w:after="0" w:line="168" w:lineRule="atLeast"/>
                    <w:ind w:left="465" w:right="0" w:hanging="115"/>
                    <w:jc w:val="both"/>
                    <w:textAlignment w:val="baseline"/>
                  </w:pPr>
                  <w:r>
                    <w:rPr>
                      <w:rFonts w:ascii="Arial" w:eastAsia="Arial" w:hAnsi="Arial" w:cs="Arial"/>
                      <w:sz w:val="13"/>
                      <w:szCs w:val="13"/>
                      <w:lang w:val="zh"/>
                    </w:rPr>
                    <w:t xml:space="preserve">黃體期無法分泌黃體素所導致不孕（卵子捐謄）；初始劑量為一天100mg• </w:t>
                  </w:r>
                  <w:r>
                    <w:rPr>
                      <w:rFonts w:ascii="PMingLiU" w:eastAsia="PMingLiU" w:hAnsi="PMingLiU" w:cs="PMingLiU"/>
                      <w:sz w:val="13"/>
                      <w:szCs w:val="13"/>
                      <w:lang w:val="zh"/>
                    </w:rPr>
                    <w:t xml:space="preserve">從移植期的第13天與第14天使用；接著第 </w:t>
                  </w:r>
                  <w:r>
                    <w:rPr>
                      <w:rFonts w:ascii="Arial" w:eastAsia="Arial" w:hAnsi="Arial" w:cs="Arial"/>
                      <w:sz w:val="13"/>
                      <w:szCs w:val="13"/>
                      <w:lang w:val="zh"/>
                    </w:rPr>
                    <w:t xml:space="preserve">15天起到第25天止·早晚各使用＿顆100mg膠責；從第26天起，如杲已經懷孕·以週為間隔單位，隔週增加100mg </w:t>
                  </w:r>
                  <w:r>
                    <w:rPr>
                      <w:rFonts w:ascii="Arial" w:eastAsia="Arial" w:hAnsi="Arial" w:cs="Arial"/>
                      <w:sz w:val="13"/>
                      <w:szCs w:val="13"/>
                      <w:lang w:val="zh"/>
                    </w:rPr>
                    <w:t xml:space="preserve">膠贏，每日聶大劑量可達600mg• </w:t>
                  </w:r>
                  <w:r>
                    <w:rPr>
                      <w:rFonts w:ascii="PMingLiU" w:eastAsia="PMingLiU" w:hAnsi="PMingLiU" w:cs="PMingLiU"/>
                      <w:sz w:val="13"/>
                      <w:szCs w:val="13"/>
                      <w:lang w:val="zh"/>
                    </w:rPr>
                    <w:t xml:space="preserve">分成3劑，此劑量持續至第60天止。</w:t>
                  </w:r>
                </w:p>
                <w:p>
                  <w:pPr>
                    <w:pStyle w:val="Style"/>
                    <w:numPr>
                      <w:ilvl w:val="0"/>
                      <w:numId w:val="8"/>
                    </w:numPr>
                    <w:spacing w:before="0" w:after="0" w:line="163" w:lineRule="atLeast"/>
                    <w:ind w:left="480" w:right="0" w:hanging="115"/>
                    <w:textAlignment w:val="baseline"/>
                  </w:pPr>
                  <w:r>
                    <w:rPr>
                      <w:rFonts w:ascii="Arial" w:eastAsia="Arial" w:hAnsi="Arial" w:cs="Arial"/>
                      <w:sz w:val="13"/>
                      <w:szCs w:val="13"/>
                      <w:lang w:val="zh"/>
                    </w:rPr>
                    <w:t xml:space="preserve">人工受孕的黃體期補充療法：建議劑量為每天600mg• </w:t>
                  </w:r>
                  <w:r>
                    <w:rPr>
                      <w:rFonts w:ascii="Arial" w:eastAsia="Arial" w:hAnsi="Arial" w:cs="Arial"/>
                      <w:w w:val="171"/>
                      <w:sz w:val="5"/>
                      <w:szCs w:val="5"/>
                      <w:lang w:val="zh"/>
                    </w:rPr>
                    <w:t xml:space="preserve">分成早、午、晚三劑，並從移植後當天晚上開始使用0</w:t>
                  </w:r>
                </w:p>
                <w:p>
                  <w:pPr>
                    <w:pStyle w:val="Style"/>
                    <w:spacing w:before="0" w:after="0" w:line="168" w:lineRule="atLeast"/>
                    <w:ind w:left="379" w:firstLine="0"/>
                    <w:textAlignment w:val="baseline"/>
                  </w:pPr>
                  <w:r>
                    <w:rPr>
                      <w:rFonts w:ascii="Arial" w:eastAsia="Arial" w:hAnsi="Arial" w:cs="Arial"/>
                      <w:sz w:val="13"/>
                      <w:szCs w:val="13"/>
                      <w:lang w:val="zh"/>
                    </w:rPr>
                    <w:t xml:space="preserve">d發生流產或預防因黃體素分泌不足引起的習慣性流產：＿天劑量為200mg到400mg• </w:t>
                  </w:r>
                  <w:r>
                    <w:rPr>
                      <w:rFonts w:ascii="PMingLiU" w:eastAsia="PMingLiU" w:hAnsi="PMingLiU" w:cs="PMingLiU"/>
                      <w:sz w:val="13"/>
                      <w:szCs w:val="13"/>
                      <w:lang w:val="zh"/>
                    </w:rPr>
                    <w:t xml:space="preserve">分兩劑並緇持铜量至懷孕12週。</w:t>
                  </w:r>
                </w:p>
                <w:p>
                  <w:pPr>
                    <w:pStyle w:val="Style"/>
                    <w:spacing w:before="0" w:after="0" w:line="206" w:lineRule="atLeast"/>
                    <w:ind w:left="187" w:firstLine="0"/>
                    <w:textAlignment w:val="baseline"/>
                  </w:pPr>
                  <w:r>
                    <w:rPr>
                      <w:rFonts w:ascii="PMingLiU" w:eastAsia="PMingLiU" w:hAnsi="PMingLiU" w:cs="PMingLiU"/>
                      <w:sz w:val="13"/>
                      <w:szCs w:val="13"/>
                      <w:lang w:val="zh"/>
                    </w:rPr>
                    <w:t xml:space="preserve">嚴藥前，請先仔細閱讀仿單。</w:t>
                  </w:r>
                </w:p>
                <w:p>
                  <w:pPr>
                    <w:pStyle w:val="Style"/>
                    <w:numPr>
                      <w:ilvl w:val="0"/>
                      <w:numId w:val="9"/>
                    </w:numPr>
                    <w:spacing w:before="0" w:after="0" w:line="163" w:lineRule="atLeast"/>
                    <w:ind w:left="350" w:right="0" w:hanging="148"/>
                    <w:textAlignment w:val="baseline"/>
                  </w:pPr>
                  <w:r>
                    <w:rPr>
                      <w:rFonts w:ascii="PMingLiU" w:eastAsia="PMingLiU" w:hAnsi="PMingLiU" w:cs="PMingLiU"/>
                      <w:sz w:val="13"/>
                      <w:szCs w:val="13"/>
                      <w:lang w:val="zh"/>
                    </w:rPr>
                    <w:t xml:space="preserve">讀妥善放置：你有時需要重複閱讀它。</w:t>
                  </w:r>
                </w:p>
                <w:p>
                  <w:pPr>
                    <w:pStyle w:val="Style"/>
                    <w:numPr>
                      <w:ilvl w:val="0"/>
                      <w:numId w:val="9"/>
                    </w:numPr>
                    <w:spacing w:before="0" w:after="0" w:line="163" w:lineRule="atLeast"/>
                    <w:ind w:left="350" w:right="0" w:hanging="158"/>
                    <w:textAlignment w:val="baseline"/>
                  </w:pPr>
                  <w:r>
                    <w:rPr>
                      <w:rFonts w:ascii="PMingLiU" w:eastAsia="PMingLiU" w:hAnsi="PMingLiU" w:cs="PMingLiU"/>
                      <w:sz w:val="13"/>
                      <w:szCs w:val="13"/>
                      <w:lang w:val="zh"/>
                    </w:rPr>
                    <w:t xml:space="preserve">如有任何問囍，請與你的薑師或藁師職絡。</w:t>
                  </w:r>
                </w:p>
                <w:p>
                  <w:pPr>
                    <w:pStyle w:val="Style"/>
                    <w:numPr>
                      <w:ilvl w:val="0"/>
                      <w:numId w:val="9"/>
                    </w:numPr>
                    <w:spacing w:before="0" w:after="0" w:line="163" w:lineRule="atLeast"/>
                    <w:ind w:left="350" w:right="0" w:hanging="158"/>
                    <w:textAlignment w:val="baseline"/>
                  </w:pPr>
                  <w:r>
                    <w:rPr>
                      <w:rFonts w:ascii="PMingLiU" w:eastAsia="PMingLiU" w:hAnsi="PMingLiU" w:cs="PMingLiU"/>
                      <w:sz w:val="13"/>
                      <w:szCs w:val="13"/>
                      <w:lang w:val="zh"/>
                    </w:rPr>
                    <w:t xml:space="preserve">此藁品專屬你個人使用，請不稟提供給他人使用，即使你們症狀相同，也可能對他們有害。</w:t>
                  </w:r>
                </w:p>
                <w:p>
                  <w:pPr>
                    <w:pStyle w:val="Style"/>
                    <w:numPr>
                      <w:ilvl w:val="0"/>
                      <w:numId w:val="9"/>
                    </w:numPr>
                    <w:spacing w:before="0" w:after="0" w:line="163" w:lineRule="atLeast"/>
                    <w:ind w:left="350" w:right="0" w:hanging="158"/>
                    <w:textAlignment w:val="baseline"/>
                  </w:pPr>
                  <w:r>
                    <w:rPr>
                      <w:rFonts w:ascii="PMingLiU" w:eastAsia="PMingLiU" w:hAnsi="PMingLiU" w:cs="PMingLiU"/>
                      <w:sz w:val="13"/>
                      <w:szCs w:val="13"/>
                      <w:lang w:val="zh"/>
                    </w:rPr>
                    <w:t xml:space="preserve">如有任何副作用讜屬重或有人發現仿單未列出的副作用，請跟薑師或葉師鷂璽·</w:t>
                  </w:r>
                </w:p>
                <w:p>
                  <w:pPr>
                    <w:pStyle w:val="Style"/>
                    <w:tabs>
                      <w:tab w:val="left" w:leader="none" w:pos="115"/>
                      <w:tab w:val="left" w:leader="none" w:pos="614"/>
                    </w:tabs>
                    <w:spacing w:before="0" w:after="0" w:line="259" w:lineRule="atLeast"/>
                    <w:ind w:left="0" w:hanging="0"/>
                    <w:textAlignment w:val="baseline"/>
                  </w:pPr>
                  <w:r>
                    <w:rPr>
                      <w:rFonts w:ascii="PMingLiU" w:eastAsia="PMingLiU" w:hAnsi="PMingLiU" w:cs="PMingLiU"/>
                      <w:w w:val="50"/>
                      <w:sz w:val="19"/>
                      <w:szCs w:val="19"/>
                      <w:lang w:val="zh"/>
                    </w:rPr>
                    <w:tab/>
                    <w:t xml:space="preserve">＂與</w:t>
                  </w:r>
                  <w:r>
                    <w:rPr>
                      <w:rFonts w:ascii="PMingLiU" w:eastAsia="PMingLiU" w:hAnsi="PMingLiU" w:cs="PMingLiU"/>
                      <w:w w:val="50"/>
                      <w:sz w:val="19"/>
                      <w:szCs w:val="19"/>
                      <w:lang w:val="zh"/>
                    </w:rPr>
                    <w:t xml:space="preserve"> </w:t>
                  </w:r>
                  <w:r>
                    <w:rPr>
                      <w:rFonts w:ascii="PMingLiU" w:eastAsia="PMingLiU" w:hAnsi="PMingLiU" w:cs="PMingLiU"/>
                      <w:sz w:val="13"/>
                      <w:szCs w:val="13"/>
                      <w:lang w:val="zh"/>
                    </w:rPr>
                    <w:tab/>
                    <w:t xml:space="preserve">忌I依文獻記載</w:t>
                  </w:r>
                  <w:r>
                    <w:rPr>
                      <w:rFonts w:ascii="PMingLiU" w:eastAsia="PMingLiU" w:hAnsi="PMingLiU" w:cs="PMingLiU"/>
                      <w:sz w:val="13"/>
                      <w:szCs w:val="13"/>
                      <w:lang w:val="zh"/>
                    </w:rPr>
                    <w:t xml:space="preserve"> </w:t>
                  </w:r>
                </w:p>
                <w:p>
                  <w:pPr>
                    <w:pStyle w:val="Style"/>
                    <w:spacing w:before="0" w:after="0" w:line="129" w:lineRule="atLeast"/>
                    <w:ind w:left="192" w:firstLine="0"/>
                    <w:textAlignment w:val="baseline"/>
                  </w:pPr>
                  <w:r>
                    <w:rPr>
                      <w:rFonts w:ascii="PMingLiU" w:eastAsia="PMingLiU" w:hAnsi="PMingLiU" w:cs="PMingLiU"/>
                      <w:sz w:val="13"/>
                      <w:szCs w:val="13"/>
                      <w:lang w:val="zh"/>
                    </w:rPr>
                    <w:t xml:space="preserve">薦重肝功能障礙、對藥品主成分或其他賦型劑容易過敏者不適合給藥·</w:t>
                  </w:r>
                </w:p>
                <w:p>
                  <w:pPr>
                    <w:pStyle w:val="Style"/>
                    <w:spacing w:before="0" w:after="0" w:line="177" w:lineRule="atLeast"/>
                    <w:ind w:left="96" w:firstLine="0"/>
                    <w:textAlignment w:val="baseline"/>
                  </w:pPr>
                  <w:r>
                    <w:rPr>
                      <w:rFonts w:ascii="PMingLiU" w:eastAsia="PMingLiU" w:hAnsi="PMingLiU" w:cs="PMingLiU"/>
                      <w:sz w:val="13"/>
                      <w:szCs w:val="13"/>
                      <w:lang w:val="zh"/>
                    </w:rPr>
                    <w:t xml:space="preserve">【警語和注意事項1依文獻記載</w:t>
                  </w:r>
                </w:p>
                <w:p>
                  <w:pPr>
                    <w:pStyle w:val="Style"/>
                    <w:numPr>
                      <w:ilvl w:val="0"/>
                      <w:numId w:val="10"/>
                    </w:numPr>
                    <w:spacing w:before="0" w:after="0" w:line="163" w:lineRule="atLeast"/>
                    <w:ind w:left="350" w:right="0" w:hanging="148"/>
                    <w:textAlignment w:val="baseline"/>
                  </w:pPr>
                  <w:r>
                    <w:rPr>
                      <w:rFonts w:ascii="PMingLiU" w:eastAsia="PMingLiU" w:hAnsi="PMingLiU" w:cs="PMingLiU"/>
                      <w:sz w:val="13"/>
                      <w:szCs w:val="13"/>
                      <w:lang w:val="zh"/>
                    </w:rPr>
                    <w:t xml:space="preserve">本療法不能用來避孕，不能當作邇孕藥使用。</w:t>
                  </w:r>
                </w:p>
                <w:p>
                  <w:pPr>
                    <w:pStyle w:val="Style"/>
                    <w:numPr>
                      <w:ilvl w:val="0"/>
                      <w:numId w:val="10"/>
                    </w:numPr>
                    <w:spacing w:before="0" w:after="0" w:line="163" w:lineRule="atLeast"/>
                    <w:ind w:left="350" w:right="0" w:hanging="168"/>
                    <w:textAlignment w:val="baseline"/>
                  </w:pPr>
                  <w:r>
                    <w:rPr>
                      <w:rFonts w:ascii="PMingLiU" w:eastAsia="PMingLiU" w:hAnsi="PMingLiU" w:cs="PMingLiU"/>
                      <w:sz w:val="13"/>
                      <w:szCs w:val="13"/>
                      <w:lang w:val="zh"/>
                    </w:rPr>
                    <w:t xml:space="preserve">如果當月療程開始太早，尤其早於第十五天，經期可能縮短或發生出血。</w:t>
                  </w:r>
                </w:p>
                <w:p>
                  <w:pPr>
                    <w:pStyle w:val="Style"/>
                    <w:numPr>
                      <w:ilvl w:val="0"/>
                      <w:numId w:val="10"/>
                    </w:numPr>
                    <w:spacing w:before="0" w:after="0" w:line="163" w:lineRule="atLeast"/>
                    <w:ind w:left="350" w:right="0" w:hanging="153"/>
                    <w:textAlignment w:val="baseline"/>
                  </w:pPr>
                  <w:r>
                    <w:rPr>
                      <w:rFonts w:ascii="Arial" w:eastAsia="Arial" w:hAnsi="Arial" w:cs="Arial"/>
                      <w:w w:val="171"/>
                      <w:sz w:val="5"/>
                      <w:szCs w:val="5"/>
                      <w:lang w:val="zh"/>
                    </w:rPr>
                    <w:t xml:space="preserve">經由陰道途徑給藥，病患必須將軟膠蠹塞入陰道深虞0</w:t>
                  </w:r>
                </w:p>
                <w:p>
                  <w:pPr>
                    <w:pStyle w:val="Style"/>
                    <w:numPr>
                      <w:ilvl w:val="0"/>
                      <w:numId w:val="11"/>
                    </w:numPr>
                    <w:spacing w:before="0" w:after="0" w:line="168" w:lineRule="atLeast"/>
                    <w:ind w:left="537" w:right="0" w:hanging="163"/>
                    <w:textAlignment w:val="baseline"/>
                  </w:pPr>
                  <w:r>
                    <w:rPr>
                      <w:rFonts w:ascii="Arial" w:eastAsia="Arial" w:hAnsi="Arial" w:cs="Arial"/>
                      <w:w w:val="140"/>
                      <w:sz w:val="6"/>
                      <w:szCs w:val="6"/>
                      <w:lang w:val="zh"/>
                    </w:rPr>
                    <w:t xml:space="preserve">如杲發生子宮流血，最好檢査子宮內膜·先確定清楚原因後才能開本藥品0</w:t>
                  </w:r>
                </w:p>
                <w:p>
                  <w:pPr>
                    <w:pStyle w:val="Style"/>
                    <w:numPr>
                      <w:ilvl w:val="0"/>
                      <w:numId w:val="11"/>
                    </w:numPr>
                    <w:spacing w:before="0" w:after="0" w:line="172" w:lineRule="atLeast"/>
                    <w:ind w:left="532" w:right="1507" w:hanging="153"/>
                    <w:textAlignment w:val="baseline"/>
                  </w:pPr>
                  <w:r>
                    <w:rPr>
                      <w:rFonts w:ascii="PMingLiU" w:eastAsia="PMingLiU" w:hAnsi="PMingLiU" w:cs="PMingLiU"/>
                      <w:sz w:val="13"/>
                      <w:szCs w:val="13"/>
                      <w:lang w:val="zh"/>
                    </w:rPr>
                    <w:t xml:space="preserve">不能完全排除發生血栓及新康代詡的風險，如果發生下列任何＿種情況，應該暫停治療： </w:t>
                  </w:r>
                  <w:r>
                    <w:rPr>
                      <w:rFonts w:ascii="Arial" w:eastAsia="Arial" w:hAnsi="Arial" w:cs="Arial"/>
                      <w:sz w:val="14"/>
                      <w:szCs w:val="14"/>
                      <w:lang w:val="zh"/>
                    </w:rPr>
                    <w:t xml:space="preserve">(1). </w:t>
                  </w:r>
                  <w:r>
                    <w:rPr>
                      <w:rFonts w:ascii="PMingLiU" w:eastAsia="PMingLiU" w:hAnsi="PMingLiU" w:cs="PMingLiU"/>
                      <w:sz w:val="13"/>
                      <w:szCs w:val="13"/>
                      <w:lang w:val="zh"/>
                    </w:rPr>
                    <w:t xml:space="preserve">眼睛異常，例如靦力裏失、複親、親網膿血管損害·</w:t>
                  </w:r>
                </w:p>
                <w:p>
                  <w:pPr>
                    <w:pStyle w:val="Style"/>
                    <w:spacing w:before="0" w:after="0" w:line="168" w:lineRule="atLeast"/>
                    <w:ind w:left="580" w:firstLine="0"/>
                    <w:textAlignment w:val="baseline"/>
                  </w:pPr>
                  <w:r>
                    <w:rPr>
                      <w:sz w:val="14"/>
                      <w:szCs w:val="14"/>
                      <w:lang w:val="zh"/>
                    </w:rPr>
                    <w:t xml:space="preserve">2). </w:t>
                  </w:r>
                  <w:r>
                    <w:rPr>
                      <w:rFonts w:ascii="PMingLiU" w:eastAsia="PMingLiU" w:hAnsi="PMingLiU" w:cs="PMingLiU"/>
                      <w:sz w:val="13"/>
                      <w:szCs w:val="13"/>
                      <w:lang w:val="zh"/>
                    </w:rPr>
                    <w:t xml:space="preserve">靜脈血柱性拴霎或血栓事件，不論發生於身上何處·</w:t>
                  </w:r>
                </w:p>
                <w:p>
                  <w:pPr>
                    <w:pStyle w:val="Style"/>
                    <w:spacing w:before="0" w:after="0" w:line="168" w:lineRule="atLeast"/>
                    <w:ind w:left="580" w:firstLine="0"/>
                    <w:textAlignment w:val="baseline"/>
                  </w:pPr>
                  <w:r>
                    <w:rPr>
                      <w:rFonts w:ascii="PMingLiU" w:eastAsia="PMingLiU" w:hAnsi="PMingLiU" w:cs="PMingLiU"/>
                      <w:sz w:val="13"/>
                      <w:szCs w:val="13"/>
                      <w:lang w:val="zh"/>
                    </w:rPr>
                    <w:t xml:space="preserve">3量重啊。</w:t>
                  </w:r>
                </w:p>
                <w:p>
                  <w:pPr>
                    <w:pStyle w:val="Style"/>
                    <w:spacing w:before="0" w:after="0" w:line="168" w:lineRule="atLeast"/>
                    <w:ind w:left="379" w:firstLine="0"/>
                    <w:textAlignment w:val="baseline"/>
                  </w:pPr>
                  <w:r>
                    <w:rPr>
                      <w:rFonts w:ascii="PMingLiU" w:eastAsia="PMingLiU" w:hAnsi="PMingLiU" w:cs="PMingLiU"/>
                      <w:sz w:val="13"/>
                      <w:szCs w:val="13"/>
                      <w:lang w:val="zh"/>
                    </w:rPr>
                    <w:t xml:space="preserve">：:.有二全箱蜑炎病史的病患用藥應密切留意·</w:t>
                  </w:r>
                </w:p>
                <w:p>
                  <w:pPr>
                    <w:pStyle w:val="Style"/>
                    <w:spacing w:before="0" w:after="0" w:line="168" w:lineRule="atLeast"/>
                    <w:ind w:left="379" w:firstLine="0"/>
                    <w:textAlignment w:val="baseline"/>
                  </w:pPr>
                  <w:r>
                    <w:rPr>
                      <w:rFonts w:ascii="Arial" w:eastAsia="Arial" w:hAnsi="Arial" w:cs="Arial"/>
                      <w:w w:val="112"/>
                      <w:sz w:val="17"/>
                      <w:szCs w:val="17"/>
                      <w:lang w:val="zh"/>
                    </w:rPr>
                    <w:t xml:space="preserve">- </w:t>
                  </w:r>
                  <w:r>
                    <w:rPr>
                      <w:rFonts w:ascii="Arial" w:eastAsia="Arial" w:hAnsi="Arial" w:cs="Arial"/>
                      <w:w w:val="112"/>
                      <w:sz w:val="17"/>
                      <w:szCs w:val="17"/>
                      <w:lang w:val="zh"/>
                    </w:rPr>
                    <w:t xml:space="preserve">-=-!!.~ </w:t>
                  </w:r>
                  <w:r>
                    <w:rPr>
                      <w:rFonts w:ascii="PMingLiU" w:eastAsia="PMingLiU" w:hAnsi="PMingLiU" w:cs="PMingLiU"/>
                      <w:sz w:val="13"/>
                      <w:szCs w:val="13"/>
                      <w:lang w:val="zh"/>
                    </w:rPr>
                    <w:t xml:space="preserve">果月経沒來，病息應該進行懷孕檢査·</w:t>
                  </w:r>
                </w:p>
              </w:txbxContent>
            </v:textbox>
          </v:shape>
        </w:pict>
      </w:r>
    </w:p>
    <w:sectPr>
      <w:type w:val="continuous"/>
      <w:pgSz w:w="11900" w:h="16840"/>
      <w:pgMar w:top="360" w:right="3754" w:bottom="360" w:left="360" w:header="708" w:footer="708" w:gutter="0"/>
      <w:cols w:space="708"/>
      <w:docGrid w:linePitch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singleLevel"/>
    <w:lvl w:ilvl="0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  <w:sz w:val="15"/>
        <w:szCs w:val="15"/>
      </w:rPr>
    </w:lvl>
  </w:abstractNum>
  <w:abstractNum w:abstractNumId="1">
    <w:multiLevelType w:val="singleLevel"/>
    <w:lvl w:ilvl="0">
      <w:start w:val="2"/>
      <w:numFmt w:val="lowerLetter"/>
      <w:lvlText w:val="%1."/>
      <w:legacy w:legacy="1" w:legacySpace="0" w:legacyIndent="0"/>
      <w:lvlJc w:val="left"/>
      <w:rPr>
        <w:rFonts w:ascii="Times New Roman" w:hAnsi="Times New Roman" w:cs="Times New Roman" w:hint="default"/>
        <w:sz w:val="14"/>
        <w:szCs w:val="14"/>
      </w:rPr>
    </w:lvl>
  </w:abstractNum>
  <w:abstractNum w:abstractNumId="2">
    <w:multiLevelType w:val="singleLevel"/>
    <w:lvl w:ilvl="0">
      <w:start w:val="2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  <w:sz w:val="15"/>
        <w:szCs w:val="15"/>
      </w:rPr>
    </w:lvl>
  </w:abstractNum>
  <w:abstractNum w:abstractNumId="3">
    <w:multiLevelType w:val="singleLevel"/>
    <w:lvl w:ilvl="0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  <w:sz w:val="15"/>
        <w:szCs w:val="15"/>
      </w:rPr>
    </w:lvl>
  </w:abstractNum>
  <w:abstractNum w:abstractNumId="4">
    <w:multiLevelType w:val="singleLevel"/>
    <w:lvl w:ilvl="0">
      <w:start w:val="1"/>
      <w:numFmt w:val="lowerLetter"/>
      <w:lvlText w:val="%1."/>
      <w:legacy w:legacy="1" w:legacySpace="0" w:legacyIndent="0"/>
      <w:lvlJc w:val="left"/>
      <w:rPr>
        <w:rFonts w:ascii="Arial" w:hAnsi="Arial" w:cs="Arial" w:hint="default"/>
        <w:sz w:val="13"/>
        <w:szCs w:val="13"/>
      </w:rPr>
    </w:lvl>
  </w:abstractNum>
  <w:abstractNum w:abstractNumId="5">
    <w:multiLevelType w:val="singleLevel"/>
    <w:lvl w:ilvl="0">
      <w:start w:val="2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  <w:sz w:val="14"/>
        <w:szCs w:val="14"/>
      </w:rPr>
    </w:lvl>
  </w:abstractNum>
  <w:abstractNum w:abstractNumId="6">
    <w:multiLevelType w:val="singleLevel"/>
    <w:lvl w:ilvl="0">
      <w:start w:val="1"/>
      <w:numFmt w:val="lowerLetter"/>
      <w:lvlText w:val="%1."/>
      <w:legacy w:legacy="1" w:legacySpace="0" w:legacyIndent="0"/>
      <w:lvlJc w:val="left"/>
      <w:rPr>
        <w:rFonts w:ascii="Arial" w:hAnsi="Arial" w:cs="Arial" w:hint="default"/>
        <w:sz w:val="13"/>
        <w:szCs w:val="13"/>
      </w:rPr>
    </w:lvl>
  </w:abstractNum>
  <w:abstractNum w:abstractNumId="7">
    <w:multiLevelType w:val="singleLevel"/>
    <w:lvl w:ilvl="0">
      <w:start w:val="3"/>
      <w:numFmt w:val="upperLetter"/>
      <w:lvlText w:val="%1."/>
      <w:legacy w:legacy="1" w:legacySpace="0" w:legacyIndent="0"/>
      <w:lvlJc w:val="left"/>
      <w:rPr>
        <w:rFonts w:ascii="Times New Roman" w:hAnsi="Times New Roman" w:cs="Times New Roman" w:hint="default"/>
        <w:sz w:val="11"/>
        <w:szCs w:val="11"/>
      </w:rPr>
    </w:lvl>
  </w:abstractNum>
  <w:abstractNum w:abstractNumId="8">
    <w:multiLevelType w:val="singleLevel"/>
    <w:lvl w:ilvl="0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  <w:sz w:val="15"/>
        <w:szCs w:val="15"/>
      </w:rPr>
    </w:lvl>
  </w:abstractNum>
  <w:abstractNum w:abstractNumId="9">
    <w:multiLevelType w:val="singleLevel"/>
    <w:lvl w:ilvl="0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  <w:sz w:val="14"/>
        <w:szCs w:val="14"/>
      </w:rPr>
    </w:lvl>
  </w:abstractNum>
  <w:abstractNum w:abstractNumId="10">
    <w:multiLevelType w:val="singleLevel"/>
    <w:lvl w:ilvl="0">
      <w:start w:val="1"/>
      <w:numFmt w:val="lowerLetter"/>
      <w:lvlText w:val="%1."/>
      <w:legacy w:legacy="1" w:legacySpace="0" w:legacyIndent="0"/>
      <w:lvlJc w:val="left"/>
      <w:rPr>
        <w:rFonts w:ascii="Times New Roman" w:hAnsi="Times New Roman" w:cs="Times New Roman" w:hint="default"/>
        <w:sz w:val="17"/>
        <w:szCs w:val="17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">
    <w:name w:val="Style"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webSettings" Target="webSettings.xml"/>
<Relationship Id="rId4" Type="http://schemas.openxmlformats.org/officeDocument/2006/relationships/theme" Target="theme/theme1.xml"/>
<Relationship Id="rId5" Type="http://schemas.openxmlformats.org/officeDocument/2006/relationships/fontTable" Target="fontTable.xml"/>
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Arab" typeface="Arial"/>
        <a:font script="Hebr" typeface="Arial"/>
      </a:majorFont>
      <a:minorFont>
        <a:latin typeface="Arial"/>
        <a:ea typeface=""/>
        <a:cs typeface=""/>
        <a:font script="Arab" typeface="Arial"/>
        <a:font script="Hebr" typeface="Arial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info_test_v3</dc:title>
  <cp:keywords>CreatedByIRIS_Readiris_16.0.4</cp:keywords>
  <cp:revision>1</cp:revision>
  <dcterms:created xsi:type="dcterms:W3CDTF">2019-11-20T17:35:28Z</dcterms:created>
  <dcterms:modified xsi:type="dcterms:W3CDTF">2019-11-20T17:35:28Z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Readiris Pro Build 12040</vt:lpwstr>
  </property>
  <property fmtid="{D5CDD505-2E9C-101B-9397-08002B2CF9AE}" pid="3" name="Producer">
    <vt:lpwstr>Readiris Pro Build 12040</vt:lpwstr>
  </property>
</Properties>
</file>