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1DA" w:rsidRDefault="00BD57EE">
      <w:pPr>
        <w:spacing w:line="1" w:lineRule="atLeast"/>
      </w:pPr>
      <w:r>
        <w:pict>
          <v:shapetype id="st_0_0" o:spid="_x0000_m1035" coordsize="21600,21600" o:spt="202" path="m,l,21600r21600,l21600,xe">
            <v:stroke joinstyle="round"/>
            <v:path gradientshapeok="f" o:connecttype="segments"/>
          </v:shapetype>
          <v:shape id="sh_0_0" o:spid="_x0000_s1034" type="#st_0_0" style="position:absolute;margin-left:3.35pt;margin-top:0;width:380.5pt;height:7.8pt;z-index:251658240;mso-position-horizontal-relative:margin;mso-position-vertical-relative:margin;mso-width-relative:margin;mso-height-relative:margin" o:spt="202" path="m,l,21600r21600,l21600,xe" filled="f" stroked="f">
            <v:fill opacity="0"/>
            <v:stroke joinstyle="round"/>
            <v:path gradientshapeok="f" o:connecttype="segments"/>
            <v:textbox inset="0,0,2.5pt,0">
              <w:txbxContent>
                <w:p w:rsidR="00F551DA" w:rsidRDefault="00F60170">
                  <w:pPr>
                    <w:pStyle w:val="Style"/>
                    <w:spacing w:line="86" w:lineRule="atLeast"/>
                    <w:ind w:left="6456"/>
                    <w:textAlignment w:val="baseline"/>
                  </w:pPr>
                  <w:r>
                    <w:rPr>
                      <w:rFonts w:ascii="Arial" w:eastAsia="Arial" w:hAnsi="Arial" w:cs="Arial"/>
                      <w:w w:val="183"/>
                      <w:sz w:val="8"/>
                      <w:szCs w:val="8"/>
                      <w:lang w:val="zh"/>
                    </w:rPr>
                    <w:t>l'ol'II-U-I_UL</w:t>
                  </w:r>
                </w:p>
              </w:txbxContent>
            </v:textbox>
            <w10:wrap anchorx="margin" anchory="margin"/>
          </v:shape>
        </w:pict>
      </w:r>
      <w:r w:rsidR="00F60170">
        <w:pict/>
      </w:r>
    </w:p>
    <w:p w:rsidR="00F551DA" w:rsidRDefault="00F60170">
      <w:pPr>
        <w:spacing w:line="1" w:lineRule="atLeast"/>
      </w:pPr>
      <w:r>
        <w:pict>
          <v:shapetype id="st_0_1" o:spid="_x0000_m1033" coordsize="21600,21600" o:spt="202" path="m,l,21600r21600,l21600,xe">
            <v:stroke joinstyle="round"/>
            <v:path gradientshapeok="f" o:connecttype="segments"/>
          </v:shapetype>
        </w:pict>
      </w:r>
      <w:r>
        <w:pict>
          <v:shape id="sh_0_1" o:spid="_x0000_s1032" type="#st_0_1" style="position:absolute;margin-left:3.35pt;margin-top:11.05pt;width:380.5pt;height:14.6pt;z-index:251659264;mso-position-horizontal-relative:margin;mso-position-vertical-relative:margin;mso-width-relative:margin;mso-height-relative:margin" o:spt="202" path="m,l,21600r21600,l21600,xe" filled="f" stroked="f">
            <v:fill opacity="0"/>
            <v:stroke joinstyle="round"/>
            <v:path gradientshapeok="f" o:connecttype="segments"/>
            <v:textbox style="mso-fit-shape-to-text:t" inset="0,0,2.5pt,0">
              <w:txbxContent>
                <w:p w:rsidR="00F551DA" w:rsidRDefault="00F60170">
                  <w:pPr>
                    <w:pStyle w:val="Style"/>
                    <w:spacing w:line="163" w:lineRule="atLeast"/>
                    <w:ind w:left="5851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衛署藥製字第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055555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號</w:t>
                  </w:r>
                </w:p>
              </w:txbxContent>
            </v:textbox>
            <w10:wrap anchorx="margin" anchory="margin"/>
          </v:shape>
        </w:pict>
      </w:r>
    </w:p>
    <w:p w:rsidR="00F551DA" w:rsidRDefault="00F60170">
      <w:pPr>
        <w:spacing w:line="1" w:lineRule="atLeast"/>
      </w:pPr>
      <w:r>
        <w:pict>
          <v:shapetype id="st_0_2" o:spid="_x0000_m1031" coordsize="21600,21600" o:spt="202" path="m,l,21600r21600,l21600,xe">
            <v:stroke joinstyle="round"/>
            <v:path gradientshapeok="f" o:connecttype="segments"/>
          </v:shapetype>
        </w:pict>
      </w:r>
      <w:r>
        <w:pict>
          <v:shape id="sh_0_2" o:spid="_x0000_s1030" type="#st_0_2" style="position:absolute;margin-left:3.35pt;margin-top:29.05pt;width:380.5pt;height:42.2pt;z-index:251660288;mso-position-horizontal-relative:margin;mso-position-vertical-relative:margin;mso-width-relative:margin;mso-height-relative:margin" o:spt="202" path="m,l,21600r21600,l21600,xe" filled="f" stroked="f">
            <v:fill opacity="0"/>
            <v:stroke joinstyle="round"/>
            <v:path gradientshapeok="f" o:connecttype="segments"/>
            <v:textbox style="mso-fit-shape-to-text:t" inset="0,0,2.5pt,0">
              <w:txbxContent>
                <w:p w:rsidR="00F551DA" w:rsidRDefault="00F60170">
                  <w:pPr>
                    <w:pStyle w:val="Style"/>
                    <w:spacing w:line="355" w:lineRule="atLeast"/>
                    <w:ind w:left="195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22"/>
                      <w:szCs w:val="22"/>
                      <w:lang w:val="zh"/>
                    </w:rPr>
                    <w:t>"</w:t>
                  </w:r>
                  <w:r w:rsidR="00513072">
                    <w:rPr>
                      <w:rFonts w:ascii="新細明體" w:eastAsia="新細明體" w:hAnsi="新細明體" w:cs="新細明體"/>
                      <w:sz w:val="22"/>
                      <w:szCs w:val="22"/>
                      <w:lang w:val="zh"/>
                    </w:rPr>
                    <w:t>培力＂安</w:t>
                  </w:r>
                  <w:r w:rsidR="00513072">
                    <w:rPr>
                      <w:rFonts w:ascii="新細明體" w:eastAsia="新細明體" w:hAnsi="新細明體" w:cs="新細明體" w:hint="eastAsia"/>
                      <w:sz w:val="22"/>
                      <w:szCs w:val="22"/>
                      <w:lang w:val="zh"/>
                    </w:rPr>
                    <w:t>諾</w:t>
                  </w:r>
                  <w:r>
                    <w:rPr>
                      <w:rFonts w:ascii="新細明體" w:eastAsia="新細明體" w:hAnsi="新細明體" w:cs="新細明體"/>
                      <w:sz w:val="22"/>
                      <w:szCs w:val="22"/>
                      <w:lang w:val="zh"/>
                    </w:rPr>
                    <w:t>妥膜衣錠</w:t>
                  </w:r>
                  <w:r>
                    <w:rPr>
                      <w:rFonts w:ascii="新細明體" w:eastAsia="新細明體" w:hAnsi="新細明體" w:cs="新細明體"/>
                      <w:sz w:val="22"/>
                      <w:szCs w:val="22"/>
                      <w:lang w:val="zh"/>
                    </w:rPr>
                    <w:t>1</w:t>
                  </w:r>
                  <w:r>
                    <w:rPr>
                      <w:rFonts w:ascii="新細明體" w:eastAsia="新細明體" w:hAnsi="新細明體" w:cs="新細明體"/>
                      <w:sz w:val="22"/>
                      <w:szCs w:val="22"/>
                      <w:lang w:val="zh"/>
                    </w:rPr>
                    <w:t>毫克</w:t>
                  </w:r>
                </w:p>
                <w:p w:rsidR="00F551DA" w:rsidRDefault="00F60170">
                  <w:pPr>
                    <w:pStyle w:val="Style"/>
                    <w:spacing w:line="345" w:lineRule="atLeast"/>
                    <w:ind w:left="1958"/>
                    <w:textAlignment w:val="baseline"/>
                  </w:pPr>
                  <w:bookmarkStart w:id="0" w:name="_GoBack"/>
                  <w:r>
                    <w:rPr>
                      <w:rFonts w:ascii="Arial" w:eastAsia="Arial" w:hAnsi="Arial" w:cs="Arial"/>
                      <w:w w:val="81"/>
                      <w:sz w:val="27"/>
                      <w:szCs w:val="27"/>
                      <w:lang w:val="zh"/>
                    </w:rPr>
                    <w:t>Anotrole</w:t>
                  </w:r>
                  <w:bookmarkEnd w:id="0"/>
                  <w:r>
                    <w:rPr>
                      <w:rFonts w:ascii="Arial" w:eastAsia="Arial" w:hAnsi="Arial" w:cs="Arial"/>
                      <w:w w:val="81"/>
                      <w:sz w:val="27"/>
                      <w:szCs w:val="27"/>
                      <w:lang w:val="zh"/>
                    </w:rPr>
                    <w:t xml:space="preserve"> F.C. Tablets 1 mg "P.L."</w:t>
                  </w:r>
                </w:p>
              </w:txbxContent>
            </v:textbox>
            <w10:wrap anchorx="margin" anchory="margin"/>
          </v:shape>
        </w:pict>
      </w:r>
    </w:p>
    <w:p w:rsidR="00F551DA" w:rsidRDefault="00F60170">
      <w:pPr>
        <w:spacing w:line="1" w:lineRule="atLeast"/>
      </w:pPr>
      <w:r>
        <w:pict>
          <v:shapetype id="st_0_3" o:spid="_x0000_m1029" coordsize="21600,21600" o:spt="202" path="m,l,21600r21600,l21600,xe">
            <v:stroke joinstyle="round"/>
            <v:path gradientshapeok="f" o:connecttype="segments"/>
          </v:shapetype>
        </w:pict>
      </w:r>
      <w:r>
        <w:pict>
          <v:shape id="sh_0_3" o:spid="_x0000_s1028" type="#st_0_3" style="position:absolute;margin-left:0;margin-top:101.55pt;width:383.85pt;height:429.8pt;z-index:251661312;mso-position-horizontal-relative:margin;mso-position-vertical-relative:margin;mso-width-relative:margin;mso-height-relative:margin" o:spt="202" path="m,l,21600r21600,l21600,xe" filled="f" stroked="f">
            <v:fill opacity="0"/>
            <v:stroke joinstyle="round"/>
            <v:path gradientshapeok="f" o:connecttype="segments"/>
            <v:textbox style="mso-fit-shape-to-text:t" inset="0,0,2.5pt,0">
              <w:txbxContent>
                <w:p w:rsidR="00F551DA" w:rsidRDefault="00F60170">
                  <w:pPr>
                    <w:pStyle w:val="Style"/>
                    <w:tabs>
                      <w:tab w:val="left" w:pos="57"/>
                      <w:tab w:val="left" w:pos="552"/>
                    </w:tabs>
                    <w:spacing w:line="187" w:lineRule="atLeast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ab/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［外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ab/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觀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1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本品為白色圓形膜衣錠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 xml:space="preserve"> </w:t>
                  </w:r>
                </w:p>
                <w:p w:rsidR="00F551DA" w:rsidRDefault="00F60170">
                  <w:pPr>
                    <w:pStyle w:val="Style"/>
                    <w:spacing w:line="168" w:lineRule="atLeast"/>
                    <w:ind w:left="72"/>
                    <w:textAlignment w:val="baseline"/>
                  </w:pPr>
                  <w:r>
                    <w:rPr>
                      <w:w w:val="53"/>
                      <w:sz w:val="19"/>
                      <w:szCs w:val="19"/>
                      <w:lang w:val="zh"/>
                    </w:rPr>
                    <w:t>［成分</w:t>
                  </w:r>
                  <w:r>
                    <w:rPr>
                      <w:w w:val="53"/>
                      <w:sz w:val="19"/>
                      <w:szCs w:val="19"/>
                      <w:lang w:val="zh"/>
                    </w:rPr>
                    <w:t xml:space="preserve">J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Each F.C. Tab. contains:</w:t>
                  </w:r>
                </w:p>
                <w:p w:rsidR="00F551DA" w:rsidRDefault="00F60170">
                  <w:pPr>
                    <w:pStyle w:val="Style"/>
                    <w:spacing w:line="158" w:lineRule="atLeast"/>
                    <w:ind w:left="859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w w:val="83"/>
                      <w:sz w:val="15"/>
                      <w:szCs w:val="15"/>
                      <w:lang w:val="zh"/>
                    </w:rPr>
                    <w:t xml:space="preserve">Anastrozole….... ….... …….......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1 mg</w:t>
                  </w:r>
                </w:p>
                <w:p w:rsidR="00F551DA" w:rsidRDefault="00F60170">
                  <w:pPr>
                    <w:pStyle w:val="Style"/>
                    <w:spacing w:line="172" w:lineRule="atLeast"/>
                    <w:ind w:left="91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［賦形劑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1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本品的藥錠中含有</w:t>
                  </w:r>
                </w:p>
                <w:p w:rsidR="00F551DA" w:rsidRDefault="00F60170">
                  <w:pPr>
                    <w:pStyle w:val="Style"/>
                    <w:spacing w:before="8" w:line="163" w:lineRule="atLeast"/>
                    <w:ind w:left="868" w:right="5846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Lactose Povidone K-30</w:t>
                  </w:r>
                </w:p>
                <w:p w:rsidR="00F551DA" w:rsidRDefault="00F60170">
                  <w:pPr>
                    <w:pStyle w:val="Style"/>
                    <w:spacing w:line="168" w:lineRule="atLeast"/>
                    <w:ind w:left="878" w:right="5092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Sodium Starch Glycolate Magnesium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Stearate Opadry II 85G28725 White</w:t>
                  </w:r>
                </w:p>
                <w:p w:rsidR="00F551DA" w:rsidRDefault="00F60170">
                  <w:pPr>
                    <w:pStyle w:val="Style"/>
                    <w:spacing w:line="153" w:lineRule="atLeast"/>
                    <w:ind w:left="888" w:hanging="888"/>
                    <w:jc w:val="both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［適應症］治療停經後婦女晚期乳癌。其療效對於雌激素接受器陰性之病患尚未被證實，除非這些病愚曾經對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TAMOXIFEN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有陽性反應。輔助治療停經後婦女且荷爾蒙接受器為陽性的早期侵犯性乳癌。輔助治療已使用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tamoxifen 2-</w:t>
                  </w:r>
                </w:p>
                <w:p w:rsidR="00F551DA" w:rsidRDefault="00F60170">
                  <w:pPr>
                    <w:pStyle w:val="Style"/>
                    <w:spacing w:line="201" w:lineRule="atLeast"/>
                    <w:ind w:left="892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3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年之停經後婦女且荷爾蒙接受器為陽性的早期乳癌。</w:t>
                  </w:r>
                </w:p>
                <w:p w:rsidR="00F551DA" w:rsidRDefault="00F60170">
                  <w:pPr>
                    <w:pStyle w:val="Style"/>
                    <w:spacing w:line="172" w:lineRule="atLeast"/>
                    <w:ind w:left="91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［用法用量】本藥須由瞽師處方使用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1"/>
                    </w:numPr>
                    <w:spacing w:line="148" w:lineRule="atLeast"/>
                    <w:ind w:left="1017" w:hanging="105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成人（包括老人）：口服一夭一錠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(1mg)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。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1"/>
                    </w:numPr>
                    <w:spacing w:line="148" w:lineRule="atLeast"/>
                    <w:ind w:left="1017" w:hanging="120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兒童：不推薦用於兒童。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1"/>
                    </w:numPr>
                    <w:spacing w:line="148" w:lineRule="atLeast"/>
                    <w:ind w:left="1017" w:hanging="115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腎功能損傷：輕度或中度腎功能不良之病人，不鏽議調整劑量。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1"/>
                    </w:numPr>
                    <w:spacing w:line="177" w:lineRule="atLeast"/>
                    <w:ind w:left="1022" w:right="3307" w:hanging="124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肝功能損傷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：對有輕度肝病的病人，不這議調整劑量，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針對早期疾病，建議治療期間應為五年。</w:t>
                  </w:r>
                </w:p>
                <w:p w:rsidR="00F551DA" w:rsidRDefault="00F60170">
                  <w:pPr>
                    <w:pStyle w:val="Style"/>
                    <w:spacing w:line="288" w:lineRule="atLeast"/>
                    <w:ind w:left="172"/>
                    <w:textAlignment w:val="baseline"/>
                  </w:pPr>
                  <w:r>
                    <w:rPr>
                      <w:w w:val="51"/>
                      <w:sz w:val="19"/>
                      <w:szCs w:val="19"/>
                      <w:lang w:val="zh"/>
                    </w:rPr>
                    <w:t>［禁忌</w:t>
                  </w:r>
                  <w:r>
                    <w:rPr>
                      <w:w w:val="51"/>
                      <w:sz w:val="19"/>
                      <w:szCs w:val="19"/>
                      <w:lang w:val="zh"/>
                    </w:rPr>
                    <w:t>J</w:t>
                  </w:r>
                </w:p>
                <w:p w:rsidR="00F551DA" w:rsidRDefault="00F60170">
                  <w:pPr>
                    <w:pStyle w:val="Style"/>
                    <w:spacing w:line="158" w:lineRule="atLeast"/>
                    <w:ind w:left="240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禁用於：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2"/>
                    </w:numPr>
                    <w:spacing w:line="168" w:lineRule="atLeast"/>
                    <w:ind w:left="547" w:hanging="144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停經前婦女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2"/>
                    </w:numPr>
                    <w:spacing w:line="168" w:lineRule="atLeast"/>
                    <w:ind w:left="547" w:hanging="153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懐孕或授乳婦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2"/>
                    </w:numPr>
                    <w:spacing w:line="144" w:lineRule="atLeast"/>
                    <w:ind w:left="556" w:hanging="153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有嚴重腎損傷的病人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(creatinine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廓清率低於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20ml/min)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2"/>
                    </w:numPr>
                    <w:spacing w:line="168" w:lineRule="atLeast"/>
                    <w:ind w:left="547" w:hanging="15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有中度或嚴重肝病的病人</w:t>
                  </w:r>
                </w:p>
                <w:p w:rsidR="00F551DA" w:rsidRDefault="00F60170">
                  <w:pPr>
                    <w:pStyle w:val="Style"/>
                    <w:numPr>
                      <w:ilvl w:val="0"/>
                      <w:numId w:val="2"/>
                    </w:numPr>
                    <w:spacing w:line="144" w:lineRule="atLeast"/>
                    <w:ind w:left="556" w:hanging="163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已知對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或其他賦形劑過敏者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含雌激素的療法不應與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併用，因為會使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之藥理作用失效。</w:t>
                  </w:r>
                </w:p>
                <w:p w:rsidR="00F551DA" w:rsidRDefault="00F60170">
                  <w:pPr>
                    <w:pStyle w:val="Style"/>
                    <w:spacing w:line="192" w:lineRule="atLeast"/>
                    <w:ind w:left="417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併用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Tamoxifen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療法（請見交互作用）</w:t>
                  </w:r>
                </w:p>
                <w:p w:rsidR="00F551DA" w:rsidRDefault="00F60170">
                  <w:pPr>
                    <w:pStyle w:val="Style"/>
                    <w:spacing w:line="172" w:lineRule="atLeast"/>
                    <w:ind w:left="273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特殊薑語及使用時注意事項：</w:t>
                  </w:r>
                </w:p>
                <w:p w:rsidR="00F551DA" w:rsidRDefault="00F60170">
                  <w:pPr>
                    <w:pStyle w:val="Style"/>
                    <w:spacing w:line="163" w:lineRule="atLeast"/>
                    <w:ind w:left="412" w:right="2611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不建議用於兒童，因其對這些病患的安全性及有效性尚未麵立。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對於任何荷爾蒙狀態有疑問的病人，其停經與否應以生化指標來界定。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無資料可支持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用於中度或巖重肝損傳病人或嚴重腎損傷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(creatinine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廓清率低於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20ml/m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而病人之安全性及</w:t>
                  </w:r>
                </w:p>
                <w:p w:rsidR="00F551DA" w:rsidRDefault="00F60170">
                  <w:pPr>
                    <w:pStyle w:val="Style"/>
                    <w:spacing w:line="192" w:lineRule="atLeast"/>
                    <w:ind w:left="417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有效性。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患有骨質疏鬆或有骨質疏鬆危險之婦女，應在開始治療時或治療後定期利用骨質密度計，如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DEXA•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掃瞄評估其骨</w:t>
                  </w:r>
                </w:p>
                <w:p w:rsidR="00F551DA" w:rsidRDefault="00F60170">
                  <w:pPr>
                    <w:pStyle w:val="Style"/>
                    <w:spacing w:line="206" w:lineRule="atLeast"/>
                    <w:ind w:left="432" w:right="172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質密度，骨質疏鬆症應採取適當的預防及治療措施並小心監測。目前無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與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LHRH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類似劑併用的資料，因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此此併用療法不可用於臨床試驗以外。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由於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會降低循環中雌激素的濃度，可能會造成骨質密度的減少，因此有可能會增加骨折的風險。</w:t>
                  </w:r>
                </w:p>
                <w:p w:rsidR="00F551DA" w:rsidRDefault="00F60170">
                  <w:pPr>
                    <w:pStyle w:val="Style"/>
                    <w:spacing w:line="182" w:lineRule="atLeast"/>
                    <w:ind w:left="441" w:right="153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本品含有乳糖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(Lactose)•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因此患有罕見遺傳性疾病如半乳糖不耐症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(galactose intolerance)• Lapp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乳糖酵素缺乏症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(Lapp Lactase deficiency)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或葡萄禧半乳糖吸收不良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(glucose- galactose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malabsorption)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之病患不應使用本品，</w:t>
                  </w:r>
                </w:p>
                <w:p w:rsidR="00F551DA" w:rsidRDefault="00F60170">
                  <w:pPr>
                    <w:pStyle w:val="Style"/>
                    <w:spacing w:line="220" w:lineRule="atLeast"/>
                    <w:ind w:left="331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交互作用：</w:t>
                  </w:r>
                </w:p>
                <w:p w:rsidR="00F551DA" w:rsidRDefault="00F60170">
                  <w:pPr>
                    <w:pStyle w:val="Style"/>
                    <w:spacing w:line="110" w:lineRule="atLeast"/>
                    <w:ind w:left="451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與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Antipyrine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及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cimetidine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的臨床交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互作用試驗顯示。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併用其他經由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cytochrome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P-450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代謝的藥物，不太</w:t>
                  </w:r>
                </w:p>
                <w:p w:rsidR="00F551DA" w:rsidRDefault="00F60170">
                  <w:pPr>
                    <w:pStyle w:val="Style"/>
                    <w:spacing w:line="187" w:lineRule="atLeast"/>
                    <w:ind w:left="456" w:right="144"/>
                    <w:jc w:val="both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可能會引起臨床上明顯的藥品交互作用｛審親其臨床試驗的安全性資料，並未顯示以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治療同時也服用其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他常見處方藥的病人，會有臨床上明顯的交互作用。目前尚無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與其他抗癌藥物併用的臨床資料。含有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 xml:space="preserve"> oestrogen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的療法不可與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併用，因會抵銷其藥理作用。</w:t>
                  </w:r>
                </w:p>
                <w:p w:rsidR="00F551DA" w:rsidRDefault="00F60170">
                  <w:pPr>
                    <w:pStyle w:val="Style"/>
                    <w:spacing w:line="196" w:lineRule="atLeast"/>
                    <w:ind w:left="331" w:right="2937" w:firstLine="134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Tamoxifen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不應與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併用，因會抵銷其藥理作用（請見禁忌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;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softHyphen/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妊娠與授乳：</w:t>
                  </w:r>
                </w:p>
                <w:p w:rsidR="00F551DA" w:rsidRDefault="00F60170">
                  <w:pPr>
                    <w:pStyle w:val="Style"/>
                    <w:spacing w:line="158" w:lineRule="atLeast"/>
                    <w:ind w:left="489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禁用於懐孕或授乳婦女。</w:t>
                  </w:r>
                </w:p>
                <w:p w:rsidR="00F551DA" w:rsidRDefault="00F60170">
                  <w:pPr>
                    <w:pStyle w:val="Style"/>
                    <w:spacing w:line="163" w:lineRule="atLeast"/>
                    <w:ind w:left="336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對開草或其他操作機械能力的影量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不太會影響病人開車或其他操作機械能力，然而，曾有轅告顯示使用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會無力和嗜睡，故當</w:t>
                  </w:r>
                </w:p>
                <w:p w:rsidR="00F551DA" w:rsidRDefault="00F60170">
                  <w:pPr>
                    <w:pStyle w:val="Style"/>
                    <w:spacing w:line="196" w:lineRule="atLeast"/>
                    <w:ind w:left="523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這樣的症狀持續時，開車或操作機械時需小心。</w:t>
                  </w:r>
                </w:p>
                <w:p w:rsidR="00F551DA" w:rsidRDefault="00F60170">
                  <w:pPr>
                    <w:pStyle w:val="Style"/>
                    <w:spacing w:line="220" w:lineRule="atLeast"/>
                    <w:ind w:left="331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非預期的作用：</w:t>
                  </w:r>
                </w:p>
              </w:txbxContent>
            </v:textbox>
            <w10:wrap anchorx="margin" anchory="margin"/>
          </v:shape>
        </w:pict>
      </w:r>
    </w:p>
    <w:tbl>
      <w:tblPr>
        <w:tblpPr w:horzAnchor="margin" w:tblpX="417" w:tblpY="10440"/>
        <w:tblW w:w="70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3"/>
        <w:gridCol w:w="2587"/>
        <w:gridCol w:w="2822"/>
      </w:tblGrid>
      <w:tr w:rsidR="00F551DA">
        <w:trPr>
          <w:trHeight w:hRule="exact" w:val="192"/>
        </w:trPr>
        <w:tc>
          <w:tcPr>
            <w:tcW w:w="16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19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非常常見</w:t>
            </w:r>
            <w:r>
              <w:rPr>
                <w:rFonts w:ascii="Arial" w:eastAsia="Arial" w:hAnsi="Arial" w:cs="Arial"/>
                <w:sz w:val="13"/>
                <w:szCs w:val="13"/>
                <w:lang w:val="zh"/>
              </w:rPr>
              <w:t xml:space="preserve">(~10%) </w:t>
            </w:r>
          </w:p>
        </w:tc>
        <w:tc>
          <w:tcPr>
            <w:tcW w:w="258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心血管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熱潮紅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· 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通常為蛭至中度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82"/>
        </w:trPr>
        <w:tc>
          <w:tcPr>
            <w:tcW w:w="1603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19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吊見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587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一般：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無曰＝力～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，通常為輕至中度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2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19"/>
              <w:textAlignment w:val="baseline"/>
            </w:pPr>
            <w:r>
              <w:rPr>
                <w:rFonts w:ascii="Arial" w:eastAsia="Arial" w:hAnsi="Arial" w:cs="Arial"/>
                <w:sz w:val="13"/>
                <w:szCs w:val="13"/>
                <w:lang w:val="zh"/>
              </w:rPr>
              <w:t xml:space="preserve">(i::;;1% and&lt; 10%)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肌肉骨骼、結締粗織與骨質：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關艮</w:t>
            </w:r>
            <w:r>
              <w:rPr>
                <w:rFonts w:ascii="Arial" w:eastAsia="Arial" w:hAnsi="Arial" w:cs="Arial"/>
                <w:sz w:val="13"/>
                <w:szCs w:val="13"/>
                <w:lang w:val="zh"/>
              </w:rPr>
              <w:t>n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疼痛</w:t>
            </w:r>
            <w:r>
              <w:rPr>
                <w:rFonts w:ascii="Arial" w:eastAsia="Arial" w:hAnsi="Arial" w:cs="Arial"/>
                <w:sz w:val="13"/>
                <w:szCs w:val="13"/>
                <w:lang w:val="zh"/>
              </w:rPr>
              <w:t>l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僵硬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通常為經至中度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82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9"/>
                <w:szCs w:val="9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生殖系統及乳房：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陰道乾澀，通常為輕至中度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2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皮膚及皮下組織：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毛髮稀疏，通常為輕至中度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2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發疹，通常為輕至中度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7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胃腸道：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噁心，通常為輕至中度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7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腹瀉，通常為輕至中度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7"/>
        </w:trPr>
        <w:tc>
          <w:tcPr>
            <w:tcW w:w="1603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神經系統：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頭痛，通常為輕丕中度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68"/>
        </w:trPr>
        <w:tc>
          <w:tcPr>
            <w:tcW w:w="1603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19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不常見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587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生殖系統及乳房：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陰道出血，逼常為輕至中度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68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19"/>
              <w:textAlignment w:val="baseline"/>
            </w:pPr>
            <w:r>
              <w:rPr>
                <w:rFonts w:ascii="Arial" w:eastAsia="Arial" w:hAnsi="Arial" w:cs="Arial"/>
                <w:sz w:val="13"/>
                <w:szCs w:val="13"/>
                <w:lang w:val="zh"/>
              </w:rPr>
              <w:t xml:space="preserve">(i;:;0.1%and&lt;1%)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代謝及營養：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缺乏食慾，通常為輥度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7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高血脈，通常為輕度至中度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2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胃腸道：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嘔吐，通常為輕至中度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7"/>
        </w:trPr>
        <w:tc>
          <w:tcPr>
            <w:tcW w:w="1603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神經系統：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嗜睡，通常為輕至中度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77"/>
        </w:trPr>
        <w:tc>
          <w:tcPr>
            <w:tcW w:w="1603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19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罕見</w:t>
            </w:r>
            <w:r>
              <w:rPr>
                <w:rFonts w:ascii="Arial" w:eastAsia="Arial" w:hAnsi="Arial" w:cs="Arial"/>
                <w:sz w:val="13"/>
                <w:szCs w:val="13"/>
                <w:lang w:val="zh"/>
              </w:rPr>
              <w:t xml:space="preserve">(&lt;0.01%) </w:t>
            </w:r>
          </w:p>
        </w:tc>
        <w:tc>
          <w:tcPr>
            <w:tcW w:w="2587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412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皮膚及皮下組織：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  <w:tc>
          <w:tcPr>
            <w:tcW w:w="2822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多型性紅斑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82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9"/>
                <w:szCs w:val="9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9"/>
                <w:szCs w:val="9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364"/>
              <w:textAlignment w:val="baseline"/>
            </w:pPr>
            <w:r>
              <w:rPr>
                <w:rFonts w:ascii="Arial" w:eastAsia="Arial" w:hAnsi="Arial" w:cs="Arial"/>
                <w:sz w:val="13"/>
                <w:szCs w:val="13"/>
                <w:lang w:val="zh"/>
              </w:rPr>
              <w:t>• Stevens-johnson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症候群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68"/>
        </w:trPr>
        <w:tc>
          <w:tcPr>
            <w:tcW w:w="1603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nil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right="220"/>
              <w:jc w:val="right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·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過敏反應包括血管性水腫丶蓴麻疹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  <w:tr w:rsidR="00F551DA">
        <w:trPr>
          <w:trHeight w:hRule="exact" w:val="158"/>
        </w:trPr>
        <w:tc>
          <w:tcPr>
            <w:tcW w:w="1603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7"/>
                <w:szCs w:val="7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textAlignment w:val="baseline"/>
            </w:pPr>
            <w:r>
              <w:rPr>
                <w:sz w:val="7"/>
                <w:szCs w:val="7"/>
              </w:rPr>
              <w:t xml:space="preserve"> </w:t>
            </w:r>
          </w:p>
        </w:tc>
        <w:tc>
          <w:tcPr>
            <w:tcW w:w="2822" w:type="dxa"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F551DA" w:rsidRDefault="00F60170">
            <w:pPr>
              <w:pStyle w:val="Style"/>
              <w:ind w:left="518"/>
              <w:textAlignment w:val="baseline"/>
            </w:pP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>及全身性過敏反應</w:t>
            </w:r>
            <w:r>
              <w:rPr>
                <w:rFonts w:ascii="新細明體" w:eastAsia="新細明體" w:hAnsi="新細明體" w:cs="新細明體"/>
                <w:sz w:val="13"/>
                <w:szCs w:val="13"/>
                <w:lang w:val="zh"/>
              </w:rPr>
              <w:t xml:space="preserve"> </w:t>
            </w:r>
          </w:p>
        </w:tc>
      </w:tr>
    </w:tbl>
    <w:p w:rsidR="00F551DA" w:rsidRDefault="00F60170">
      <w:pPr>
        <w:spacing w:line="1" w:lineRule="atLeast"/>
      </w:pPr>
      <w:r>
        <w:pict>
          <v:shapetype id="st_0_5" o:spid="_x0000_m1027" coordsize="21600,21600" o:spt="202" path="m,l,21600r21600,l21600,xe">
            <v:stroke joinstyle="round"/>
            <v:path gradientshapeok="f" o:connecttype="segments"/>
          </v:shapetype>
        </w:pict>
      </w:r>
      <w:r>
        <w:pict>
          <v:shape id="sh_0_5" o:spid="_x0000_s1026" type="#st_0_5" style="position:absolute;margin-left:3.35pt;margin-top:677.05pt;width:380.7pt;height:118.5pt;z-index:251662336;mso-position-horizontal-relative:margin;mso-position-vertical-relative:margin;mso-width-relative:margin;mso-height-relative:margin" o:spt="202" path="m,l,21600r21600,l21600,xe" filled="f" stroked="f">
            <v:fill opacity="0"/>
            <v:stroke joinstyle="round"/>
            <v:path gradientshapeok="f" o:connecttype="segments"/>
            <v:textbox style="mso-fit-shape-to-text:t" inset="0,0,2.5pt,0">
              <w:txbxContent>
                <w:p w:rsidR="00F551DA" w:rsidRDefault="00F60170">
                  <w:pPr>
                    <w:pStyle w:val="Style"/>
                    <w:spacing w:line="216" w:lineRule="atLeast"/>
                    <w:ind w:left="652" w:hanging="652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＊陰道出血的現象不常被報告，主要發生在病人自原有之荷爾蒙療法換成以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治療後的前幾週。若持續出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血，應考慮進一步的評估。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由於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會降低循環中雌激素的濃度，造成骨質密度的減少，因此使病患有更高發生骨折的風險。</w:t>
                  </w:r>
                </w:p>
                <w:p w:rsidR="00F551DA" w:rsidRDefault="00F60170">
                  <w:pPr>
                    <w:pStyle w:val="Style"/>
                    <w:spacing w:line="158" w:lineRule="atLeast"/>
                    <w:ind w:left="489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肝功能變化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(gamma-GT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升高或較少見之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alkaline phosphatase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升高）不常被報告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(?;0.1%,</w:t>
                  </w:r>
                </w:p>
                <w:p w:rsidR="00F551DA" w:rsidRDefault="00F60170">
                  <w:pPr>
                    <w:pStyle w:val="Style"/>
                    <w:spacing w:line="4" w:lineRule="atLeast"/>
                    <w:ind w:left="5908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sz&lt;1%)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這些變化的因果</w:t>
                  </w:r>
                </w:p>
                <w:p w:rsidR="00F551DA" w:rsidRDefault="00F60170">
                  <w:pPr>
                    <w:pStyle w:val="Style"/>
                    <w:spacing w:line="278" w:lineRule="atLeast"/>
                    <w:ind w:left="51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關係尚未被確立。</w:t>
                  </w:r>
                </w:p>
                <w:p w:rsidR="00F551DA" w:rsidRDefault="00F60170">
                  <w:pPr>
                    <w:pStyle w:val="Style"/>
                    <w:spacing w:line="192" w:lineRule="atLeast"/>
                    <w:ind w:left="561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w w:val="89"/>
                      <w:sz w:val="15"/>
                      <w:szCs w:val="15"/>
                      <w:lang w:val="zh"/>
                    </w:rPr>
                    <w:t>過量：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意外過量使用的臨床經驗有限。動物實驗顯示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Anastrozo e</w:t>
                  </w:r>
                </w:p>
                <w:p w:rsidR="00F551DA" w:rsidRDefault="00F60170">
                  <w:pPr>
                    <w:pStyle w:val="Style"/>
                    <w:spacing w:line="4" w:lineRule="atLeast"/>
                    <w:ind w:left="4180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l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的急性毒性低。臨床試驗曾使用過各種不同劑量的</w:t>
                  </w:r>
                </w:p>
                <w:p w:rsidR="00F551DA" w:rsidRDefault="00F60170">
                  <w:pPr>
                    <w:pStyle w:val="Style"/>
                    <w:spacing w:line="249" w:lineRule="atLeast"/>
                    <w:ind w:left="518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Anastrozole•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投予健康男性自願者之單一劑量最高達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>60mg•</w:t>
                  </w:r>
                </w:p>
                <w:p w:rsidR="00F551DA" w:rsidRDefault="00F60170">
                  <w:pPr>
                    <w:pStyle w:val="Style"/>
                    <w:spacing w:line="4" w:lineRule="atLeast"/>
                    <w:ind w:left="4396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投予患有晚期乳癌的停經後婦女之劑量每日最高達</w:t>
                  </w:r>
                </w:p>
                <w:p w:rsidR="00F551DA" w:rsidRDefault="00F60170">
                  <w:pPr>
                    <w:pStyle w:val="Style"/>
                    <w:spacing w:line="196" w:lineRule="atLeast"/>
                    <w:ind w:left="523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10mg• 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這些劑量都具有良好耐受性。會產生威脅生命症狀之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單</w:t>
                  </w:r>
                </w:p>
                <w:p w:rsidR="00F551DA" w:rsidRDefault="00F60170">
                  <w:pPr>
                    <w:pStyle w:val="Style"/>
                    <w:spacing w:line="4" w:lineRule="atLeast"/>
                    <w:ind w:left="5160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一劑量尚未被確定。過量時並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無特定的</w:t>
                  </w:r>
                </w:p>
                <w:p w:rsidR="00F551DA" w:rsidRDefault="00F60170">
                  <w:pPr>
                    <w:pStyle w:val="Style"/>
                    <w:spacing w:line="278" w:lineRule="atLeast"/>
                    <w:ind w:left="51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解毒劑，應依症狀給予治療。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對於棄物過量的處理，應考慮病人已服用多種藥劑的可能性。若病人意識清楚，可加以催吐。由於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Anastrozole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與血</w:t>
                  </w:r>
                </w:p>
                <w:p w:rsidR="00F551DA" w:rsidRDefault="00F60170">
                  <w:pPr>
                    <w:pStyle w:val="Style"/>
                    <w:spacing w:line="144" w:lineRule="atLeast"/>
                    <w:ind w:left="528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中蛋白質結合率並不高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·</w:t>
                  </w: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因此血液透析法可能有所助益。必要時可給予一般的支持療法，包括時常監親病人的生命</w:t>
                  </w:r>
                </w:p>
                <w:p w:rsidR="00F551DA" w:rsidRDefault="00F60170">
                  <w:pPr>
                    <w:pStyle w:val="Style"/>
                    <w:spacing w:line="196" w:lineRule="atLeast"/>
                    <w:ind w:left="523"/>
                    <w:textAlignment w:val="baseline"/>
                  </w:pPr>
                  <w:r>
                    <w:rPr>
                      <w:rFonts w:ascii="新細明體" w:eastAsia="新細明體" w:hAnsi="新細明體" w:cs="新細明體"/>
                      <w:sz w:val="13"/>
                      <w:szCs w:val="13"/>
                      <w:lang w:val="zh"/>
                    </w:rPr>
                    <w:t>跡象及密切觀察病人情況。</w:t>
                  </w:r>
                </w:p>
              </w:txbxContent>
            </v:textbox>
            <w10:wrap anchorx="margin" anchory="margin"/>
          </v:shape>
        </w:pict>
      </w:r>
    </w:p>
    <w:sectPr w:rsidR="00F551DA">
      <w:type w:val="continuous"/>
      <w:pgSz w:w="12240" w:h="20160"/>
      <w:pgMar w:top="720" w:right="3580" w:bottom="360" w:left="6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170" w:rsidRDefault="00F60170" w:rsidP="00513072">
      <w:r>
        <w:separator/>
      </w:r>
    </w:p>
  </w:endnote>
  <w:endnote w:type="continuationSeparator" w:id="0">
    <w:p w:rsidR="00F60170" w:rsidRDefault="00F60170" w:rsidP="0051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170" w:rsidRDefault="00F60170" w:rsidP="00513072">
      <w:r>
        <w:separator/>
      </w:r>
    </w:p>
  </w:footnote>
  <w:footnote w:type="continuationSeparator" w:id="0">
    <w:p w:rsidR="00F60170" w:rsidRDefault="00F60170" w:rsidP="00513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D08EA"/>
    <w:multiLevelType w:val="singleLevel"/>
    <w:tmpl w:val="36D63730"/>
    <w:lvl w:ilvl="0">
      <w:start w:val="1"/>
      <w:numFmt w:val="decimal"/>
      <w:lvlText w:val="%1."/>
      <w:legacy w:legacy="1" w:legacySpace="0" w:legacyIndent="0"/>
      <w:lvlJc w:val="left"/>
      <w:rPr>
        <w:rFonts w:ascii="Arial" w:hAnsi="Arial" w:cs="Arial" w:hint="default"/>
        <w:sz w:val="13"/>
        <w:szCs w:val="13"/>
      </w:rPr>
    </w:lvl>
  </w:abstractNum>
  <w:abstractNum w:abstractNumId="1" w15:restartNumberingAfterBreak="0">
    <w:nsid w:val="5CB83A4C"/>
    <w:multiLevelType w:val="singleLevel"/>
    <w:tmpl w:val="5D785146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5"/>
        <w:szCs w:val="15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51DA"/>
    <w:rsid w:val="00513072"/>
    <w:rsid w:val="00BD57EE"/>
    <w:rsid w:val="00F551DA"/>
    <w:rsid w:val="00F6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314708"/>
  <w15:docId w15:val="{9AB93D91-03A3-44EF-9B1D-2E8DC2AA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130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307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30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307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Arab" typeface="Arial"/>
        <a:font script="Hebr" typeface="Arial"/>
      </a:majorFont>
      <a:minorFont>
        <a:latin typeface="Arial"/>
        <a:ea typeface=""/>
        <a:cs typeface=""/>
        <a:font script="Arab" typeface="Arial"/>
        <a:font script="Hebr"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info_v3</dc:title>
  <cp:keywords>CreatedByIRIS_Readiris_16.0.4</cp:keywords>
  <cp:lastModifiedBy>Tom Lin</cp:lastModifiedBy>
  <cp:revision>3</cp:revision>
  <dcterms:created xsi:type="dcterms:W3CDTF">2019-11-22T16:04:00Z</dcterms:created>
  <dcterms:modified xsi:type="dcterms:W3CDTF">2019-11-22T08:09:00Z</dcterms:modified>
</cp:coreProperties>
</file>